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9E53E1">
      <w:pPr>
        <w:widowControl/>
        <w:jc w:val="left"/>
        <w:rPr>
          <w:rFonts w:ascii="黑体" w:hAnsi="Times New Roman" w:eastAsia="黑体" w:cs="Times New Roman"/>
          <w:color w:val="auto"/>
          <w:sz w:val="32"/>
          <w:szCs w:val="36"/>
        </w:rPr>
      </w:pPr>
      <w:bookmarkStart w:id="0" w:name="_GoBack"/>
      <w:bookmarkEnd w:id="0"/>
      <w:r>
        <w:rPr>
          <w:rFonts w:hint="eastAsia" w:ascii="黑体" w:hAnsi="Times New Roman" w:eastAsia="黑体" w:cs="Times New Roman"/>
          <w:color w:val="auto"/>
          <w:sz w:val="32"/>
          <w:szCs w:val="36"/>
        </w:rPr>
        <w:t>附件1</w:t>
      </w:r>
    </w:p>
    <w:p w14:paraId="3127DE56">
      <w:pPr>
        <w:spacing w:line="585" w:lineRule="exact"/>
        <w:jc w:val="center"/>
        <w:rPr>
          <w:rFonts w:ascii="黑体" w:hAnsi="Times New Roman" w:eastAsia="黑体" w:cs="Times New Roman"/>
          <w:b/>
          <w:color w:val="auto"/>
          <w:sz w:val="36"/>
          <w:szCs w:val="36"/>
        </w:rPr>
      </w:pPr>
    </w:p>
    <w:p w14:paraId="63C9FD63">
      <w:pPr>
        <w:spacing w:line="585" w:lineRule="exact"/>
        <w:jc w:val="center"/>
        <w:rPr>
          <w:rFonts w:ascii="方正小标宋简体" w:hAnsi="Times New Roman" w:eastAsia="方正小标宋简体" w:cs="Times New Roman"/>
          <w:color w:val="auto"/>
          <w:sz w:val="44"/>
          <w:szCs w:val="36"/>
        </w:rPr>
      </w:pPr>
      <w:r>
        <w:rPr>
          <w:rFonts w:hint="eastAsia" w:ascii="方正小标宋简体" w:hAnsi="Times New Roman" w:eastAsia="方正小标宋简体" w:cs="Times New Roman"/>
          <w:color w:val="auto"/>
          <w:sz w:val="44"/>
          <w:szCs w:val="36"/>
        </w:rPr>
        <w:t>江西省普通高校招生社会考生思想政治品德</w:t>
      </w:r>
    </w:p>
    <w:p w14:paraId="0A45838F">
      <w:pPr>
        <w:spacing w:line="585" w:lineRule="exact"/>
        <w:jc w:val="center"/>
        <w:rPr>
          <w:rFonts w:ascii="方正小标宋简体" w:hAnsi="Times New Roman" w:eastAsia="方正小标宋简体" w:cs="Times New Roman"/>
          <w:color w:val="auto"/>
          <w:sz w:val="44"/>
          <w:szCs w:val="36"/>
        </w:rPr>
      </w:pPr>
      <w:r>
        <w:rPr>
          <w:rFonts w:hint="eastAsia" w:ascii="方正小标宋简体" w:hAnsi="Times New Roman" w:eastAsia="方正小标宋简体" w:cs="Times New Roman"/>
          <w:color w:val="auto"/>
          <w:sz w:val="44"/>
          <w:szCs w:val="36"/>
        </w:rPr>
        <w:t>鉴    定    表</w:t>
      </w:r>
    </w:p>
    <w:p w14:paraId="49365E46">
      <w:pPr>
        <w:spacing w:line="585" w:lineRule="exact"/>
        <w:rPr>
          <w:rFonts w:ascii="仿宋_GB2312" w:hAnsi="仿宋_GB2312" w:eastAsia="仿宋_GB2312" w:cs="仿宋_GB2312"/>
          <w:b/>
          <w:color w:val="auto"/>
          <w:sz w:val="24"/>
        </w:rPr>
      </w:pPr>
    </w:p>
    <w:p w14:paraId="3056ED99">
      <w:pPr>
        <w:spacing w:line="360" w:lineRule="auto"/>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_________县(市、区)       考生号____________     报考科类_________</w:t>
      </w:r>
    </w:p>
    <w:tbl>
      <w:tblPr>
        <w:tblStyle w:val="8"/>
        <w:tblW w:w="901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13"/>
        <w:gridCol w:w="44"/>
        <w:gridCol w:w="1192"/>
        <w:gridCol w:w="721"/>
        <w:gridCol w:w="721"/>
        <w:gridCol w:w="824"/>
        <w:gridCol w:w="2145"/>
        <w:gridCol w:w="1002"/>
        <w:gridCol w:w="1156"/>
      </w:tblGrid>
      <w:tr w14:paraId="228FC4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jc w:val="center"/>
        </w:trPr>
        <w:tc>
          <w:tcPr>
            <w:tcW w:w="1213" w:type="dxa"/>
            <w:vAlign w:val="center"/>
          </w:tcPr>
          <w:p w14:paraId="14489BD4">
            <w:pPr>
              <w:spacing w:line="360" w:lineRule="auto"/>
              <w:jc w:val="center"/>
              <w:rPr>
                <w:rFonts w:ascii="仿宋_GB2312" w:hAnsi="仿宋" w:eastAsia="仿宋_GB2312" w:cs="仿宋"/>
                <w:b/>
                <w:color w:val="auto"/>
                <w:sz w:val="24"/>
              </w:rPr>
            </w:pPr>
            <w:r>
              <w:rPr>
                <w:rFonts w:hint="eastAsia" w:ascii="仿宋_GB2312" w:hAnsi="仿宋" w:eastAsia="仿宋_GB2312" w:cs="仿宋"/>
                <w:b/>
                <w:color w:val="auto"/>
                <w:sz w:val="24"/>
              </w:rPr>
              <w:t>姓名</w:t>
            </w:r>
          </w:p>
        </w:tc>
        <w:tc>
          <w:tcPr>
            <w:tcW w:w="1236" w:type="dxa"/>
            <w:gridSpan w:val="2"/>
            <w:vAlign w:val="center"/>
          </w:tcPr>
          <w:p w14:paraId="7880AD27">
            <w:pPr>
              <w:spacing w:line="360" w:lineRule="auto"/>
              <w:jc w:val="center"/>
              <w:rPr>
                <w:rFonts w:ascii="仿宋_GB2312" w:hAnsi="仿宋" w:eastAsia="仿宋_GB2312" w:cs="仿宋"/>
                <w:b/>
                <w:color w:val="auto"/>
                <w:sz w:val="24"/>
              </w:rPr>
            </w:pPr>
          </w:p>
        </w:tc>
        <w:tc>
          <w:tcPr>
            <w:tcW w:w="721" w:type="dxa"/>
            <w:vAlign w:val="center"/>
          </w:tcPr>
          <w:p w14:paraId="42DEC167">
            <w:pPr>
              <w:spacing w:line="360" w:lineRule="auto"/>
              <w:jc w:val="center"/>
              <w:rPr>
                <w:rFonts w:ascii="仿宋_GB2312" w:hAnsi="仿宋" w:eastAsia="仿宋_GB2312" w:cs="仿宋"/>
                <w:b/>
                <w:color w:val="auto"/>
                <w:sz w:val="24"/>
              </w:rPr>
            </w:pPr>
            <w:r>
              <w:rPr>
                <w:rFonts w:hint="eastAsia" w:ascii="仿宋_GB2312" w:hAnsi="仿宋" w:eastAsia="仿宋_GB2312" w:cs="仿宋"/>
                <w:b/>
                <w:color w:val="auto"/>
                <w:sz w:val="24"/>
              </w:rPr>
              <w:t>性别</w:t>
            </w:r>
          </w:p>
        </w:tc>
        <w:tc>
          <w:tcPr>
            <w:tcW w:w="721" w:type="dxa"/>
            <w:vAlign w:val="center"/>
          </w:tcPr>
          <w:p w14:paraId="0817B719">
            <w:pPr>
              <w:spacing w:line="360" w:lineRule="auto"/>
              <w:jc w:val="center"/>
              <w:rPr>
                <w:rFonts w:ascii="仿宋_GB2312" w:hAnsi="仿宋" w:eastAsia="仿宋_GB2312" w:cs="仿宋"/>
                <w:b/>
                <w:color w:val="auto"/>
                <w:sz w:val="24"/>
              </w:rPr>
            </w:pPr>
          </w:p>
        </w:tc>
        <w:tc>
          <w:tcPr>
            <w:tcW w:w="824" w:type="dxa"/>
            <w:vAlign w:val="center"/>
          </w:tcPr>
          <w:p w14:paraId="048DFB06">
            <w:pPr>
              <w:spacing w:line="360" w:lineRule="auto"/>
              <w:ind w:left="-35"/>
              <w:jc w:val="center"/>
              <w:rPr>
                <w:rFonts w:ascii="仿宋_GB2312" w:hAnsi="仿宋" w:eastAsia="仿宋_GB2312" w:cs="仿宋"/>
                <w:b/>
                <w:color w:val="auto"/>
                <w:sz w:val="24"/>
              </w:rPr>
            </w:pPr>
            <w:r>
              <w:rPr>
                <w:rFonts w:hint="eastAsia" w:ascii="仿宋_GB2312" w:hAnsi="仿宋" w:eastAsia="仿宋_GB2312" w:cs="仿宋"/>
                <w:b/>
                <w:color w:val="auto"/>
                <w:sz w:val="24"/>
              </w:rPr>
              <w:t>出生日期</w:t>
            </w:r>
          </w:p>
        </w:tc>
        <w:tc>
          <w:tcPr>
            <w:tcW w:w="2145" w:type="dxa"/>
            <w:vAlign w:val="center"/>
          </w:tcPr>
          <w:p w14:paraId="2F27F705">
            <w:pPr>
              <w:spacing w:line="360" w:lineRule="auto"/>
              <w:jc w:val="center"/>
              <w:rPr>
                <w:rFonts w:ascii="仿宋_GB2312" w:hAnsi="仿宋" w:eastAsia="仿宋_GB2312" w:cs="仿宋"/>
                <w:b/>
                <w:color w:val="auto"/>
                <w:sz w:val="24"/>
              </w:rPr>
            </w:pPr>
            <w:r>
              <w:rPr>
                <w:rFonts w:hint="eastAsia" w:ascii="仿宋_GB2312" w:hAnsi="仿宋" w:eastAsia="仿宋_GB2312" w:cs="仿宋"/>
                <w:b/>
                <w:color w:val="auto"/>
                <w:sz w:val="24"/>
              </w:rPr>
              <w:t>年   月   日</w:t>
            </w:r>
          </w:p>
        </w:tc>
        <w:tc>
          <w:tcPr>
            <w:tcW w:w="1002" w:type="dxa"/>
            <w:tcBorders>
              <w:right w:val="single" w:color="auto" w:sz="4" w:space="0"/>
            </w:tcBorders>
            <w:vAlign w:val="center"/>
          </w:tcPr>
          <w:p w14:paraId="43D3FE09">
            <w:pPr>
              <w:spacing w:line="360" w:lineRule="auto"/>
              <w:jc w:val="center"/>
              <w:rPr>
                <w:rFonts w:ascii="仿宋_GB2312" w:hAnsi="仿宋" w:eastAsia="仿宋_GB2312" w:cs="仿宋"/>
                <w:b/>
                <w:color w:val="auto"/>
                <w:sz w:val="24"/>
              </w:rPr>
            </w:pPr>
            <w:r>
              <w:rPr>
                <w:rFonts w:hint="eastAsia" w:ascii="仿宋_GB2312" w:hAnsi="仿宋" w:eastAsia="仿宋_GB2312" w:cs="仿宋"/>
                <w:b/>
                <w:color w:val="auto"/>
                <w:sz w:val="24"/>
              </w:rPr>
              <w:t>民族</w:t>
            </w:r>
          </w:p>
        </w:tc>
        <w:tc>
          <w:tcPr>
            <w:tcW w:w="1156" w:type="dxa"/>
            <w:tcBorders>
              <w:left w:val="single" w:color="auto" w:sz="4" w:space="0"/>
            </w:tcBorders>
            <w:vAlign w:val="center"/>
          </w:tcPr>
          <w:p w14:paraId="65B9693B">
            <w:pPr>
              <w:spacing w:line="360" w:lineRule="auto"/>
              <w:jc w:val="center"/>
              <w:rPr>
                <w:rFonts w:ascii="仿宋_GB2312" w:hAnsi="仿宋" w:eastAsia="仿宋_GB2312" w:cs="仿宋"/>
                <w:b/>
                <w:color w:val="auto"/>
                <w:sz w:val="24"/>
              </w:rPr>
            </w:pPr>
          </w:p>
        </w:tc>
      </w:tr>
      <w:tr w14:paraId="5C71C6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jc w:val="center"/>
        </w:trPr>
        <w:tc>
          <w:tcPr>
            <w:tcW w:w="2449" w:type="dxa"/>
            <w:gridSpan w:val="3"/>
            <w:vAlign w:val="center"/>
          </w:tcPr>
          <w:p w14:paraId="59506A76">
            <w:pPr>
              <w:spacing w:line="360" w:lineRule="auto"/>
              <w:jc w:val="center"/>
              <w:rPr>
                <w:rFonts w:ascii="仿宋_GB2312" w:hAnsi="仿宋" w:eastAsia="仿宋_GB2312" w:cs="仿宋"/>
                <w:b/>
                <w:color w:val="auto"/>
                <w:sz w:val="24"/>
              </w:rPr>
            </w:pPr>
            <w:r>
              <w:rPr>
                <w:rFonts w:hint="eastAsia" w:ascii="仿宋_GB2312" w:hAnsi="仿宋" w:eastAsia="仿宋_GB2312" w:cs="仿宋"/>
                <w:b/>
                <w:color w:val="auto"/>
                <w:sz w:val="24"/>
              </w:rPr>
              <w:t>户口所在</w:t>
            </w:r>
          </w:p>
          <w:p w14:paraId="199DF1A1">
            <w:pPr>
              <w:spacing w:line="360" w:lineRule="auto"/>
              <w:jc w:val="center"/>
              <w:rPr>
                <w:rFonts w:ascii="仿宋_GB2312" w:hAnsi="仿宋" w:eastAsia="仿宋_GB2312" w:cs="仿宋"/>
                <w:b/>
                <w:color w:val="auto"/>
                <w:sz w:val="24"/>
              </w:rPr>
            </w:pPr>
            <w:r>
              <w:rPr>
                <w:rFonts w:hint="eastAsia" w:ascii="仿宋_GB2312" w:hAnsi="仿宋" w:eastAsia="仿宋_GB2312" w:cs="仿宋"/>
                <w:b/>
                <w:color w:val="auto"/>
                <w:sz w:val="24"/>
              </w:rPr>
              <w:t>县(市、区)</w:t>
            </w:r>
          </w:p>
        </w:tc>
        <w:tc>
          <w:tcPr>
            <w:tcW w:w="4411" w:type="dxa"/>
            <w:gridSpan w:val="4"/>
            <w:tcBorders>
              <w:right w:val="single" w:color="auto" w:sz="4" w:space="0"/>
            </w:tcBorders>
            <w:vAlign w:val="center"/>
          </w:tcPr>
          <w:p w14:paraId="67E39CAD">
            <w:pPr>
              <w:spacing w:line="360" w:lineRule="auto"/>
              <w:jc w:val="center"/>
              <w:rPr>
                <w:rFonts w:ascii="仿宋_GB2312" w:hAnsi="仿宋" w:eastAsia="仿宋_GB2312" w:cs="仿宋"/>
                <w:b/>
                <w:color w:val="auto"/>
                <w:sz w:val="24"/>
              </w:rPr>
            </w:pPr>
          </w:p>
        </w:tc>
        <w:tc>
          <w:tcPr>
            <w:tcW w:w="1002" w:type="dxa"/>
            <w:tcBorders>
              <w:left w:val="single" w:color="auto" w:sz="4" w:space="0"/>
              <w:right w:val="single" w:color="auto" w:sz="4" w:space="0"/>
            </w:tcBorders>
            <w:vAlign w:val="center"/>
          </w:tcPr>
          <w:p w14:paraId="091894D9">
            <w:pPr>
              <w:spacing w:line="360" w:lineRule="auto"/>
              <w:jc w:val="center"/>
              <w:rPr>
                <w:rFonts w:ascii="仿宋_GB2312" w:hAnsi="仿宋" w:eastAsia="仿宋_GB2312" w:cs="仿宋"/>
                <w:b/>
                <w:color w:val="auto"/>
                <w:sz w:val="24"/>
              </w:rPr>
            </w:pPr>
            <w:r>
              <w:rPr>
                <w:rFonts w:hint="eastAsia" w:ascii="仿宋_GB2312" w:hAnsi="仿宋" w:eastAsia="仿宋_GB2312" w:cs="仿宋"/>
                <w:b/>
                <w:color w:val="auto"/>
                <w:sz w:val="24"/>
              </w:rPr>
              <w:t>政治</w:t>
            </w:r>
          </w:p>
          <w:p w14:paraId="74B83C16">
            <w:pPr>
              <w:spacing w:line="360" w:lineRule="auto"/>
              <w:jc w:val="center"/>
              <w:rPr>
                <w:rFonts w:ascii="仿宋_GB2312" w:hAnsi="仿宋" w:eastAsia="仿宋_GB2312" w:cs="仿宋"/>
                <w:b/>
                <w:color w:val="auto"/>
                <w:sz w:val="24"/>
              </w:rPr>
            </w:pPr>
            <w:r>
              <w:rPr>
                <w:rFonts w:hint="eastAsia" w:ascii="仿宋_GB2312" w:hAnsi="仿宋" w:eastAsia="仿宋_GB2312" w:cs="仿宋"/>
                <w:b/>
                <w:color w:val="auto"/>
                <w:sz w:val="24"/>
              </w:rPr>
              <w:t>面貌</w:t>
            </w:r>
          </w:p>
        </w:tc>
        <w:tc>
          <w:tcPr>
            <w:tcW w:w="1156" w:type="dxa"/>
            <w:tcBorders>
              <w:left w:val="single" w:color="auto" w:sz="4" w:space="0"/>
            </w:tcBorders>
            <w:vAlign w:val="center"/>
          </w:tcPr>
          <w:p w14:paraId="205BA297">
            <w:pPr>
              <w:spacing w:line="360" w:lineRule="auto"/>
              <w:jc w:val="center"/>
              <w:rPr>
                <w:rFonts w:ascii="仿宋_GB2312" w:hAnsi="仿宋" w:eastAsia="仿宋_GB2312" w:cs="仿宋"/>
                <w:b/>
                <w:color w:val="auto"/>
                <w:sz w:val="24"/>
              </w:rPr>
            </w:pPr>
          </w:p>
        </w:tc>
      </w:tr>
      <w:tr w14:paraId="3E83A0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0" w:hRule="atLeast"/>
          <w:jc w:val="center"/>
        </w:trPr>
        <w:tc>
          <w:tcPr>
            <w:tcW w:w="1257" w:type="dxa"/>
            <w:gridSpan w:val="2"/>
            <w:tcBorders>
              <w:right w:val="single" w:color="auto" w:sz="4" w:space="0"/>
            </w:tcBorders>
            <w:vAlign w:val="center"/>
          </w:tcPr>
          <w:p w14:paraId="1B3932D8">
            <w:pPr>
              <w:spacing w:line="360" w:lineRule="auto"/>
              <w:jc w:val="left"/>
              <w:rPr>
                <w:rFonts w:ascii="仿宋_GB2312" w:hAnsi="仿宋" w:eastAsia="仿宋_GB2312" w:cs="仿宋"/>
                <w:b/>
                <w:color w:val="auto"/>
                <w:sz w:val="24"/>
              </w:rPr>
            </w:pPr>
            <w:r>
              <w:rPr>
                <w:rFonts w:hint="eastAsia" w:ascii="仿宋_GB2312" w:hAnsi="仿宋" w:eastAsia="仿宋_GB2312" w:cs="仿宋"/>
                <w:b/>
                <w:color w:val="auto"/>
                <w:sz w:val="24"/>
              </w:rPr>
              <w:t>政治态度</w:t>
            </w:r>
          </w:p>
          <w:p w14:paraId="5EF106BC">
            <w:pPr>
              <w:spacing w:line="360" w:lineRule="auto"/>
              <w:jc w:val="left"/>
              <w:rPr>
                <w:rFonts w:ascii="仿宋_GB2312" w:hAnsi="仿宋" w:eastAsia="仿宋_GB2312" w:cs="仿宋"/>
                <w:b/>
                <w:color w:val="auto"/>
                <w:sz w:val="24"/>
              </w:rPr>
            </w:pPr>
            <w:r>
              <w:rPr>
                <w:rFonts w:hint="eastAsia" w:ascii="仿宋_GB2312" w:hAnsi="仿宋" w:eastAsia="仿宋_GB2312" w:cs="仿宋"/>
                <w:b/>
                <w:color w:val="auto"/>
                <w:sz w:val="24"/>
              </w:rPr>
              <w:t>思想品德</w:t>
            </w:r>
          </w:p>
          <w:p w14:paraId="6076498D">
            <w:pPr>
              <w:spacing w:line="360" w:lineRule="auto"/>
              <w:jc w:val="left"/>
              <w:rPr>
                <w:rFonts w:ascii="仿宋_GB2312" w:hAnsi="仿宋" w:eastAsia="仿宋_GB2312" w:cs="仿宋"/>
                <w:b/>
                <w:color w:val="auto"/>
                <w:sz w:val="24"/>
              </w:rPr>
            </w:pPr>
            <w:r>
              <w:rPr>
                <w:rFonts w:hint="eastAsia" w:ascii="仿宋_GB2312" w:hAnsi="仿宋" w:eastAsia="仿宋_GB2312" w:cs="仿宋"/>
                <w:b/>
                <w:color w:val="auto"/>
                <w:sz w:val="24"/>
              </w:rPr>
              <w:t>表    现</w:t>
            </w:r>
          </w:p>
        </w:tc>
        <w:tc>
          <w:tcPr>
            <w:tcW w:w="7761" w:type="dxa"/>
            <w:gridSpan w:val="7"/>
            <w:tcBorders>
              <w:left w:val="single" w:color="auto" w:sz="4" w:space="0"/>
            </w:tcBorders>
            <w:vAlign w:val="center"/>
          </w:tcPr>
          <w:p w14:paraId="7211B90A">
            <w:pPr>
              <w:spacing w:line="320" w:lineRule="exact"/>
              <w:rPr>
                <w:rFonts w:ascii="仿宋_GB2312" w:hAnsi="仿宋" w:eastAsia="仿宋_GB2312" w:cs="仿宋"/>
                <w:b/>
                <w:color w:val="auto"/>
                <w:sz w:val="24"/>
              </w:rPr>
            </w:pPr>
          </w:p>
          <w:p w14:paraId="3E25A869">
            <w:pPr>
              <w:spacing w:line="320" w:lineRule="exact"/>
              <w:rPr>
                <w:rFonts w:ascii="仿宋_GB2312" w:hAnsi="仿宋" w:eastAsia="仿宋_GB2312" w:cs="仿宋"/>
                <w:b/>
                <w:color w:val="auto"/>
                <w:sz w:val="24"/>
              </w:rPr>
            </w:pPr>
          </w:p>
          <w:p w14:paraId="3BD71877">
            <w:pPr>
              <w:spacing w:line="320" w:lineRule="exact"/>
              <w:jc w:val="right"/>
              <w:rPr>
                <w:rFonts w:ascii="仿宋_GB2312" w:hAnsi="仿宋" w:eastAsia="仿宋_GB2312" w:cs="仿宋"/>
                <w:b/>
                <w:color w:val="auto"/>
                <w:sz w:val="24"/>
              </w:rPr>
            </w:pPr>
          </w:p>
          <w:p w14:paraId="3BED2E53">
            <w:pPr>
              <w:spacing w:line="320" w:lineRule="exact"/>
              <w:jc w:val="right"/>
              <w:rPr>
                <w:rFonts w:ascii="仿宋_GB2312" w:hAnsi="仿宋" w:eastAsia="仿宋_GB2312" w:cs="仿宋"/>
                <w:b/>
                <w:color w:val="auto"/>
                <w:sz w:val="24"/>
              </w:rPr>
            </w:pPr>
            <w:r>
              <w:rPr>
                <w:rFonts w:hint="eastAsia" w:ascii="仿宋_GB2312" w:hAnsi="仿宋" w:eastAsia="仿宋_GB2312" w:cs="仿宋"/>
                <w:b/>
                <w:color w:val="auto"/>
                <w:sz w:val="24"/>
              </w:rPr>
              <w:t xml:space="preserve">                      </w:t>
            </w:r>
          </w:p>
        </w:tc>
      </w:tr>
      <w:tr w14:paraId="516098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0" w:hRule="atLeast"/>
          <w:jc w:val="center"/>
        </w:trPr>
        <w:tc>
          <w:tcPr>
            <w:tcW w:w="1257" w:type="dxa"/>
            <w:gridSpan w:val="2"/>
            <w:tcBorders>
              <w:right w:val="single" w:color="auto" w:sz="4" w:space="0"/>
            </w:tcBorders>
            <w:vAlign w:val="center"/>
          </w:tcPr>
          <w:p w14:paraId="20092954">
            <w:pPr>
              <w:spacing w:line="360" w:lineRule="auto"/>
              <w:jc w:val="left"/>
              <w:rPr>
                <w:rFonts w:ascii="仿宋_GB2312" w:hAnsi="仿宋" w:eastAsia="仿宋_GB2312" w:cs="仿宋"/>
                <w:b/>
                <w:color w:val="auto"/>
                <w:sz w:val="24"/>
              </w:rPr>
            </w:pPr>
            <w:r>
              <w:rPr>
                <w:rFonts w:hint="eastAsia" w:ascii="仿宋_GB2312" w:hAnsi="仿宋" w:eastAsia="仿宋_GB2312" w:cs="仿宋"/>
                <w:b/>
                <w:color w:val="auto"/>
                <w:sz w:val="24"/>
              </w:rPr>
              <w:t>鉴定结论</w:t>
            </w:r>
          </w:p>
        </w:tc>
        <w:tc>
          <w:tcPr>
            <w:tcW w:w="7761" w:type="dxa"/>
            <w:gridSpan w:val="7"/>
            <w:tcBorders>
              <w:left w:val="single" w:color="auto" w:sz="4" w:space="0"/>
            </w:tcBorders>
            <w:vAlign w:val="center"/>
          </w:tcPr>
          <w:p w14:paraId="7449C7A1">
            <w:pPr>
              <w:spacing w:line="320" w:lineRule="exact"/>
              <w:jc w:val="center"/>
              <w:rPr>
                <w:rFonts w:ascii="仿宋_GB2312" w:hAnsi="仿宋" w:eastAsia="仿宋_GB2312" w:cs="仿宋"/>
                <w:b/>
                <w:color w:val="auto"/>
                <w:sz w:val="24"/>
              </w:rPr>
            </w:pPr>
          </w:p>
          <w:p w14:paraId="5B3C0DB4">
            <w:pPr>
              <w:spacing w:line="320" w:lineRule="exact"/>
              <w:jc w:val="center"/>
              <w:rPr>
                <w:rFonts w:ascii="仿宋_GB2312" w:hAnsi="仿宋" w:eastAsia="仿宋_GB2312" w:cs="仿宋"/>
                <w:b/>
                <w:color w:val="auto"/>
                <w:sz w:val="24"/>
              </w:rPr>
            </w:pPr>
            <w:r>
              <w:rPr>
                <w:rFonts w:hint="eastAsia" w:ascii="仿宋_GB2312" w:hAnsi="仿宋" w:eastAsia="仿宋_GB2312" w:cs="仿宋"/>
                <w:b/>
                <w:color w:val="auto"/>
                <w:sz w:val="24"/>
              </w:rPr>
              <w:t xml:space="preserve"> </w:t>
            </w:r>
          </w:p>
          <w:p w14:paraId="19595972">
            <w:pPr>
              <w:spacing w:line="320" w:lineRule="exact"/>
              <w:jc w:val="center"/>
              <w:rPr>
                <w:rFonts w:ascii="仿宋_GB2312" w:hAnsi="仿宋" w:eastAsia="仿宋_GB2312" w:cs="仿宋"/>
                <w:b/>
                <w:color w:val="auto"/>
                <w:sz w:val="24"/>
              </w:rPr>
            </w:pPr>
            <w:r>
              <w:rPr>
                <w:rFonts w:hint="eastAsia" w:ascii="仿宋_GB2312" w:hAnsi="仿宋" w:eastAsia="仿宋_GB2312" w:cs="仿宋"/>
                <w:b/>
                <w:color w:val="auto"/>
                <w:sz w:val="24"/>
              </w:rPr>
              <w:t xml:space="preserve">                             所在单位或</w:t>
            </w:r>
          </w:p>
          <w:p w14:paraId="3183FCBB">
            <w:pPr>
              <w:spacing w:line="320" w:lineRule="exact"/>
              <w:jc w:val="center"/>
              <w:rPr>
                <w:rFonts w:ascii="仿宋_GB2312" w:hAnsi="仿宋" w:eastAsia="仿宋_GB2312" w:cs="仿宋"/>
                <w:b/>
                <w:color w:val="auto"/>
                <w:sz w:val="24"/>
              </w:rPr>
            </w:pPr>
            <w:r>
              <w:rPr>
                <w:rFonts w:hint="eastAsia" w:ascii="仿宋_GB2312" w:hAnsi="仿宋" w:eastAsia="仿宋_GB2312" w:cs="仿宋"/>
                <w:b/>
                <w:color w:val="auto"/>
                <w:sz w:val="24"/>
              </w:rPr>
              <w:t xml:space="preserve">                            乡镇（村委会）或</w:t>
            </w:r>
          </w:p>
          <w:p w14:paraId="67D0A8DF">
            <w:pPr>
              <w:spacing w:line="320" w:lineRule="exact"/>
              <w:jc w:val="center"/>
              <w:rPr>
                <w:rFonts w:ascii="仿宋_GB2312" w:hAnsi="仿宋" w:eastAsia="仿宋_GB2312" w:cs="仿宋"/>
                <w:b/>
                <w:color w:val="auto"/>
                <w:sz w:val="24"/>
              </w:rPr>
            </w:pPr>
            <w:r>
              <w:rPr>
                <w:rFonts w:hint="eastAsia" w:ascii="仿宋_GB2312" w:hAnsi="仿宋" w:eastAsia="仿宋_GB2312" w:cs="仿宋"/>
                <w:b/>
                <w:color w:val="auto"/>
                <w:sz w:val="24"/>
              </w:rPr>
              <w:t xml:space="preserve">                              街办（居委会)    </w:t>
            </w:r>
          </w:p>
          <w:p w14:paraId="4DA38920">
            <w:pPr>
              <w:spacing w:line="320" w:lineRule="exact"/>
              <w:ind w:firstLine="482" w:firstLineChars="200"/>
              <w:rPr>
                <w:rFonts w:ascii="仿宋_GB2312" w:hAnsi="仿宋" w:eastAsia="仿宋_GB2312" w:cs="仿宋"/>
                <w:b/>
                <w:color w:val="auto"/>
                <w:sz w:val="24"/>
              </w:rPr>
            </w:pPr>
            <w:r>
              <w:rPr>
                <w:rFonts w:hint="eastAsia" w:ascii="仿宋_GB2312" w:hAnsi="仿宋" w:eastAsia="仿宋_GB2312" w:cs="仿宋"/>
                <w:b/>
                <w:color w:val="auto"/>
                <w:sz w:val="24"/>
              </w:rPr>
              <w:t>负责人签字：                            盖   章</w:t>
            </w:r>
          </w:p>
          <w:p w14:paraId="380464DB">
            <w:pPr>
              <w:spacing w:line="320" w:lineRule="exact"/>
              <w:jc w:val="center"/>
              <w:rPr>
                <w:rFonts w:ascii="仿宋_GB2312" w:hAnsi="仿宋" w:eastAsia="仿宋_GB2312" w:cs="仿宋"/>
                <w:b/>
                <w:color w:val="auto"/>
                <w:sz w:val="24"/>
              </w:rPr>
            </w:pPr>
            <w:r>
              <w:rPr>
                <w:rFonts w:hint="eastAsia" w:ascii="仿宋_GB2312" w:hAnsi="仿宋" w:eastAsia="仿宋_GB2312" w:cs="仿宋"/>
                <w:b/>
                <w:color w:val="auto"/>
                <w:sz w:val="24"/>
              </w:rPr>
              <w:t xml:space="preserve">                                  年   月   日</w:t>
            </w:r>
          </w:p>
        </w:tc>
      </w:tr>
      <w:tr w14:paraId="0C038E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1257" w:type="dxa"/>
            <w:gridSpan w:val="2"/>
            <w:tcBorders>
              <w:right w:val="single" w:color="auto" w:sz="4" w:space="0"/>
            </w:tcBorders>
            <w:vAlign w:val="center"/>
          </w:tcPr>
          <w:p w14:paraId="24555216">
            <w:pPr>
              <w:spacing w:line="320" w:lineRule="exact"/>
              <w:ind w:right="57" w:firstLine="273" w:firstLineChars="100"/>
              <w:rPr>
                <w:rFonts w:ascii="仿宋_GB2312" w:hAnsi="仿宋" w:eastAsia="仿宋_GB2312" w:cs="仿宋"/>
                <w:b/>
                <w:color w:val="auto"/>
                <w:spacing w:val="16"/>
                <w:sz w:val="24"/>
              </w:rPr>
            </w:pPr>
            <w:r>
              <w:rPr>
                <w:rFonts w:hint="eastAsia" w:ascii="仿宋_GB2312" w:hAnsi="仿宋" w:eastAsia="仿宋_GB2312" w:cs="仿宋"/>
                <w:b/>
                <w:color w:val="auto"/>
                <w:spacing w:val="16"/>
                <w:sz w:val="24"/>
              </w:rPr>
              <w:t>备注</w:t>
            </w:r>
          </w:p>
        </w:tc>
        <w:tc>
          <w:tcPr>
            <w:tcW w:w="7761" w:type="dxa"/>
            <w:gridSpan w:val="7"/>
            <w:tcBorders>
              <w:left w:val="single" w:color="auto" w:sz="4" w:space="0"/>
              <w:right w:val="single" w:color="auto" w:sz="8" w:space="0"/>
            </w:tcBorders>
            <w:vAlign w:val="center"/>
          </w:tcPr>
          <w:p w14:paraId="7FCA2A94">
            <w:pPr>
              <w:spacing w:line="320" w:lineRule="exact"/>
              <w:rPr>
                <w:rFonts w:ascii="仿宋_GB2312" w:hAnsi="仿宋" w:eastAsia="仿宋_GB2312" w:cs="仿宋"/>
                <w:bCs/>
                <w:color w:val="auto"/>
                <w:sz w:val="24"/>
              </w:rPr>
            </w:pPr>
            <w:r>
              <w:rPr>
                <w:rFonts w:hint="eastAsia" w:ascii="仿宋_GB2312" w:hAnsi="仿宋" w:eastAsia="仿宋_GB2312" w:cs="仿宋"/>
                <w:bCs/>
                <w:color w:val="auto"/>
                <w:sz w:val="24"/>
              </w:rPr>
              <w:t>1.本表限社会考生使用（县级考试机构留存1年），在校生由就读学校向县级考试机构统一提供鉴定情况；</w:t>
            </w:r>
          </w:p>
          <w:p w14:paraId="0E51DBE6">
            <w:pPr>
              <w:spacing w:line="320" w:lineRule="exact"/>
              <w:rPr>
                <w:rFonts w:ascii="仿宋_GB2312" w:hAnsi="仿宋" w:eastAsia="仿宋_GB2312" w:cs="仿宋"/>
                <w:bCs/>
                <w:color w:val="auto"/>
                <w:sz w:val="24"/>
              </w:rPr>
            </w:pPr>
            <w:r>
              <w:rPr>
                <w:rFonts w:hint="eastAsia" w:ascii="仿宋_GB2312" w:hAnsi="仿宋" w:eastAsia="仿宋_GB2312" w:cs="仿宋"/>
                <w:bCs/>
                <w:color w:val="auto"/>
                <w:sz w:val="24"/>
              </w:rPr>
              <w:t>2.由所在单位或户籍地乡镇（村委会）、街办（居委会）进行鉴定，鉴定结论为：合格或不合格；</w:t>
            </w:r>
          </w:p>
          <w:p w14:paraId="10CB3E31">
            <w:pPr>
              <w:spacing w:line="320" w:lineRule="exact"/>
              <w:rPr>
                <w:rFonts w:ascii="仿宋_GB2312" w:hAnsi="仿宋" w:eastAsia="仿宋_GB2312" w:cs="仿宋"/>
                <w:b/>
                <w:color w:val="auto"/>
                <w:sz w:val="24"/>
              </w:rPr>
            </w:pPr>
            <w:r>
              <w:rPr>
                <w:rFonts w:hint="eastAsia" w:ascii="仿宋_GB2312" w:hAnsi="仿宋" w:eastAsia="仿宋_GB2312" w:cs="仿宋"/>
                <w:bCs/>
                <w:color w:val="auto"/>
                <w:sz w:val="24"/>
              </w:rPr>
              <w:t>3.考生有下列情形之一且未能提供对错误的认识及改正错误的现实表现等证明材料的，应认定为思想政治品德考核不合格：（1）有反对宪法所确定的基本原则的言行或参加邪教组织，情节严重的；（2）</w:t>
            </w:r>
            <w:r>
              <w:rPr>
                <w:rFonts w:hint="eastAsia" w:ascii="仿宋_GB2312" w:hAnsi="仿宋" w:eastAsia="仿宋_GB2312" w:cs="仿宋"/>
                <w:color w:val="auto"/>
                <w:sz w:val="24"/>
              </w:rPr>
              <w:t>触犯刑法、治安管理处罚法，受到刑事处罚或治安管理处罚且情节严重、性质恶劣，尚在处罚期内的。</w:t>
            </w:r>
          </w:p>
        </w:tc>
      </w:tr>
    </w:tbl>
    <w:p w14:paraId="2C326A82">
      <w:pPr>
        <w:widowControl/>
        <w:jc w:val="left"/>
        <w:rPr>
          <w:rFonts w:ascii="仿宋_GB2312" w:hAnsi="宋体" w:eastAsia="仿宋_GB2312" w:cs="宋体"/>
          <w:b/>
          <w:color w:val="auto"/>
          <w:kern w:val="0"/>
          <w:sz w:val="32"/>
          <w:szCs w:val="32"/>
        </w:rPr>
      </w:pPr>
      <w:r>
        <w:rPr>
          <w:rFonts w:ascii="仿宋_GB2312" w:eastAsia="仿宋_GB2312"/>
          <w:b/>
          <w:color w:val="auto"/>
          <w:sz w:val="32"/>
          <w:szCs w:val="32"/>
        </w:rPr>
        <w:br w:type="page"/>
      </w:r>
    </w:p>
    <w:p w14:paraId="77590B42">
      <w:pPr>
        <w:pStyle w:val="7"/>
        <w:spacing w:before="0" w:beforeAutospacing="0" w:after="0" w:afterAutospacing="0" w:line="585" w:lineRule="exact"/>
        <w:jc w:val="both"/>
        <w:rPr>
          <w:rFonts w:ascii="黑体" w:hAnsi="黑体" w:eastAsia="黑体"/>
          <w:color w:val="auto"/>
          <w:sz w:val="32"/>
          <w:szCs w:val="32"/>
        </w:rPr>
      </w:pPr>
      <w:r>
        <w:rPr>
          <w:rFonts w:hint="eastAsia" w:ascii="黑体" w:hAnsi="黑体" w:eastAsia="黑体"/>
          <w:color w:val="auto"/>
          <w:sz w:val="32"/>
          <w:szCs w:val="32"/>
        </w:rPr>
        <w:t>附件2</w:t>
      </w:r>
    </w:p>
    <w:p w14:paraId="4C77050B">
      <w:pPr>
        <w:pStyle w:val="7"/>
        <w:spacing w:before="0" w:beforeAutospacing="0" w:after="0" w:afterAutospacing="0" w:line="585" w:lineRule="exact"/>
        <w:jc w:val="center"/>
        <w:rPr>
          <w:rFonts w:ascii="仿宋_GB2312" w:eastAsia="仿宋_GB2312"/>
          <w:b/>
          <w:color w:val="auto"/>
          <w:sz w:val="32"/>
          <w:szCs w:val="32"/>
        </w:rPr>
      </w:pPr>
    </w:p>
    <w:p w14:paraId="0F14340E">
      <w:pPr>
        <w:spacing w:line="585" w:lineRule="exact"/>
        <w:jc w:val="center"/>
        <w:rPr>
          <w:rFonts w:ascii="方正小标宋简体" w:hAnsi="Calibri" w:eastAsia="方正小标宋简体" w:cs="Times New Roman"/>
          <w:color w:val="auto"/>
          <w:sz w:val="44"/>
          <w:szCs w:val="44"/>
        </w:rPr>
      </w:pPr>
      <w:r>
        <w:rPr>
          <w:rFonts w:hint="eastAsia" w:ascii="方正小标宋简体" w:hAnsi="Calibri" w:eastAsia="方正小标宋简体" w:cs="Times New Roman"/>
          <w:color w:val="auto"/>
          <w:sz w:val="44"/>
          <w:szCs w:val="44"/>
        </w:rPr>
        <w:t>江西省202</w:t>
      </w:r>
      <w:r>
        <w:rPr>
          <w:rFonts w:hint="eastAsia" w:ascii="方正小标宋简体" w:hAnsi="Calibri" w:eastAsia="方正小标宋简体" w:cs="Times New Roman"/>
          <w:color w:val="auto"/>
          <w:sz w:val="44"/>
          <w:szCs w:val="44"/>
          <w:lang w:val="en-US" w:eastAsia="zh-CN"/>
        </w:rPr>
        <w:t>7</w:t>
      </w:r>
      <w:r>
        <w:rPr>
          <w:rFonts w:hint="eastAsia" w:ascii="方正小标宋简体" w:hAnsi="Calibri" w:eastAsia="方正小标宋简体" w:cs="Times New Roman"/>
          <w:color w:val="auto"/>
          <w:sz w:val="44"/>
          <w:szCs w:val="44"/>
        </w:rPr>
        <w:t>年国家专项、高校专项、地方专项（农村医学定向）、苏区专项等申报条件</w:t>
      </w:r>
    </w:p>
    <w:p w14:paraId="4DBFE9A3">
      <w:pPr>
        <w:spacing w:line="585" w:lineRule="exact"/>
        <w:jc w:val="center"/>
        <w:rPr>
          <w:rFonts w:ascii="仿宋_GB2312" w:hAnsi="Calibri" w:eastAsia="仿宋_GB2312" w:cs="Times New Roman"/>
          <w:color w:val="auto"/>
          <w:sz w:val="32"/>
          <w:szCs w:val="32"/>
        </w:rPr>
      </w:pPr>
    </w:p>
    <w:p w14:paraId="00A14BC2">
      <w:pPr>
        <w:spacing w:line="585" w:lineRule="exact"/>
        <w:ind w:firstLine="640" w:firstLineChars="200"/>
        <w:rPr>
          <w:rFonts w:ascii="仿宋_GB2312" w:hAnsi="黑体" w:eastAsia="仿宋_GB2312" w:cs="Times New Roman"/>
          <w:color w:val="auto"/>
          <w:sz w:val="32"/>
          <w:szCs w:val="32"/>
        </w:rPr>
      </w:pPr>
      <w:r>
        <w:rPr>
          <w:rFonts w:hint="eastAsia" w:ascii="仿宋_GB2312" w:hAnsi="仿宋_GB2312" w:eastAsia="仿宋_GB2312" w:cs="仿宋_GB2312"/>
          <w:color w:val="auto"/>
          <w:sz w:val="32"/>
          <w:szCs w:val="32"/>
        </w:rPr>
        <w:t>根据教育部规定，已被专项计划录取过的往届考生，不再具有各专项计划报考资格。</w:t>
      </w:r>
    </w:p>
    <w:p w14:paraId="43020334">
      <w:pPr>
        <w:spacing w:line="585" w:lineRule="exact"/>
        <w:ind w:firstLine="640" w:firstLineChars="200"/>
        <w:rPr>
          <w:rFonts w:ascii="黑体" w:hAnsi="黑体" w:eastAsia="黑体" w:cs="Times New Roman"/>
          <w:color w:val="auto"/>
          <w:sz w:val="32"/>
          <w:szCs w:val="32"/>
        </w:rPr>
      </w:pPr>
      <w:r>
        <w:rPr>
          <w:rFonts w:hint="eastAsia" w:ascii="黑体" w:hAnsi="黑体" w:eastAsia="黑体" w:cs="Times New Roman"/>
          <w:color w:val="auto"/>
          <w:sz w:val="32"/>
          <w:szCs w:val="32"/>
        </w:rPr>
        <w:t>一、国家专项</w:t>
      </w:r>
    </w:p>
    <w:p w14:paraId="2C2D91A9">
      <w:pPr>
        <w:spacing w:line="585" w:lineRule="exact"/>
        <w:ind w:firstLine="640" w:firstLineChars="200"/>
        <w:rPr>
          <w:rFonts w:ascii="仿宋_GB2312" w:hAnsi="仿宋" w:eastAsia="仿宋_GB2312" w:cs="Times New Roman"/>
          <w:color w:val="auto"/>
          <w:sz w:val="32"/>
          <w:szCs w:val="32"/>
        </w:rPr>
      </w:pPr>
      <w:r>
        <w:rPr>
          <w:rFonts w:hint="eastAsia" w:ascii="仿宋_GB2312" w:hAnsi="仿宋" w:eastAsia="仿宋_GB2312" w:cs="Times New Roman"/>
          <w:color w:val="auto"/>
          <w:sz w:val="32"/>
          <w:szCs w:val="32"/>
        </w:rPr>
        <w:t>我省国家专项计划实施区域为24个脱贫县：</w:t>
      </w:r>
      <w:r>
        <w:rPr>
          <w:rFonts w:hint="eastAsia" w:ascii="仿宋_GB2312" w:hAnsi="楷体" w:eastAsia="仿宋_GB2312" w:cs="Times New Roman"/>
          <w:color w:val="auto"/>
          <w:sz w:val="32"/>
          <w:szCs w:val="32"/>
        </w:rPr>
        <w:t>修水县、莲花县、赣县区、上犹县、安远县、宁都县、于都县、兴国县、会昌县、寻乌县、石城县、瑞金市、南康区、广信区、横峰县、余干县、鄱阳县、遂川县、万安县、永新县、井冈山市、吉安县、乐安县、广昌县。</w:t>
      </w:r>
    </w:p>
    <w:p w14:paraId="1BDA55C5">
      <w:pPr>
        <w:spacing w:line="585" w:lineRule="exact"/>
        <w:ind w:firstLine="640" w:firstLineChars="200"/>
        <w:rPr>
          <w:rFonts w:ascii="仿宋_GB2312" w:hAnsi="仿宋" w:eastAsia="仿宋_GB2312" w:cs="Times New Roman"/>
          <w:color w:val="auto"/>
          <w:sz w:val="32"/>
          <w:szCs w:val="32"/>
        </w:rPr>
      </w:pPr>
      <w:r>
        <w:rPr>
          <w:rFonts w:hint="eastAsia" w:ascii="仿宋_GB2312" w:hAnsi="仿宋" w:eastAsia="仿宋_GB2312" w:cs="Times New Roman"/>
          <w:color w:val="auto"/>
          <w:sz w:val="32"/>
          <w:szCs w:val="32"/>
        </w:rPr>
        <w:t>报考条件：</w:t>
      </w:r>
      <w:r>
        <w:rPr>
          <w:rFonts w:hint="eastAsia" w:ascii="仿宋_GB2312" w:hAnsi="仿宋_GB2312" w:eastAsia="仿宋_GB2312" w:cs="仿宋_GB2312"/>
          <w:color w:val="auto"/>
          <w:sz w:val="32"/>
          <w:szCs w:val="32"/>
        </w:rPr>
        <w:t>（1）本人自</w:t>
      </w:r>
      <w:r>
        <w:rPr>
          <w:rFonts w:hint="eastAsia" w:ascii="仿宋_GB2312" w:hAnsi="宋体" w:eastAsia="仿宋_GB2312" w:cs="宋体"/>
          <w:color w:val="auto"/>
          <w:sz w:val="32"/>
          <w:szCs w:val="32"/>
        </w:rPr>
        <w:t>高一开始</w:t>
      </w:r>
      <w:r>
        <w:rPr>
          <w:rFonts w:hint="eastAsia" w:ascii="仿宋_GB2312" w:hAnsi="宋体" w:eastAsia="仿宋_GB2312" w:cs="宋体"/>
          <w:color w:val="auto"/>
          <w:sz w:val="32"/>
          <w:szCs w:val="32"/>
          <w:lang w:eastAsia="zh-CN"/>
        </w:rPr>
        <w:t>（</w:t>
      </w:r>
      <w:r>
        <w:rPr>
          <w:rFonts w:hint="eastAsia" w:ascii="仿宋_GB2312" w:hAnsi="宋体" w:eastAsia="仿宋_GB2312" w:cs="宋体"/>
          <w:color w:val="auto"/>
          <w:sz w:val="32"/>
          <w:szCs w:val="32"/>
          <w:lang w:val="en-US" w:eastAsia="zh-CN"/>
        </w:rPr>
        <w:t>不晚于当年9月1日</w:t>
      </w:r>
      <w:r>
        <w:rPr>
          <w:rFonts w:hint="eastAsia" w:ascii="仿宋_GB2312" w:hAnsi="宋体" w:eastAsia="仿宋_GB2312" w:cs="宋体"/>
          <w:color w:val="auto"/>
          <w:sz w:val="32"/>
          <w:szCs w:val="32"/>
          <w:lang w:eastAsia="zh-CN"/>
        </w:rPr>
        <w:t>）</w:t>
      </w:r>
      <w:r>
        <w:rPr>
          <w:rFonts w:hint="eastAsia" w:ascii="仿宋_GB2312" w:hAnsi="宋体" w:eastAsia="仿宋_GB2312" w:cs="宋体"/>
          <w:color w:val="auto"/>
          <w:sz w:val="32"/>
          <w:szCs w:val="32"/>
        </w:rPr>
        <w:t>至今具有</w:t>
      </w:r>
      <w:r>
        <w:rPr>
          <w:rFonts w:hint="eastAsia" w:ascii="仿宋_GB2312" w:hAnsi="仿宋_GB2312" w:eastAsia="仿宋_GB2312" w:cs="仿宋_GB2312"/>
          <w:color w:val="auto"/>
          <w:sz w:val="32"/>
          <w:szCs w:val="32"/>
        </w:rPr>
        <w:t>同一实施县（</w:t>
      </w:r>
      <w:r>
        <w:rPr>
          <w:rFonts w:hint="eastAsia" w:ascii="仿宋_GB2312" w:hAnsi="宋体" w:eastAsia="仿宋_GB2312" w:cs="宋体"/>
          <w:color w:val="auto"/>
          <w:sz w:val="32"/>
          <w:szCs w:val="32"/>
        </w:rPr>
        <w:t>市、</w:t>
      </w:r>
      <w:r>
        <w:rPr>
          <w:rFonts w:hint="eastAsia" w:ascii="仿宋_GB2312" w:hAnsi="仿宋_GB2312" w:eastAsia="仿宋_GB2312" w:cs="仿宋_GB2312"/>
          <w:color w:val="auto"/>
          <w:sz w:val="32"/>
          <w:szCs w:val="32"/>
        </w:rPr>
        <w:t>区）户籍，并在当地完成202</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年普通高考报名；</w:t>
      </w:r>
      <w:r>
        <w:rPr>
          <w:rFonts w:hint="eastAsia" w:ascii="仿宋_GB2312" w:hAnsi="宋体" w:eastAsia="仿宋_GB2312" w:cs="宋体"/>
          <w:color w:val="auto"/>
          <w:sz w:val="32"/>
          <w:szCs w:val="32"/>
        </w:rPr>
        <w:t>（2）本人父亲或母亲或法定监护人</w:t>
      </w:r>
      <w:r>
        <w:rPr>
          <w:rFonts w:hint="eastAsia" w:ascii="仿宋_GB2312" w:hAnsi="宋体" w:eastAsia="仿宋_GB2312" w:cs="宋体"/>
          <w:color w:val="auto"/>
          <w:sz w:val="32"/>
          <w:szCs w:val="32"/>
          <w:lang w:eastAsia="zh-CN"/>
        </w:rPr>
        <w:t>与本人</w:t>
      </w:r>
      <w:r>
        <w:rPr>
          <w:rFonts w:hint="eastAsia" w:ascii="仿宋_GB2312" w:hAnsi="宋体" w:eastAsia="仿宋_GB2312" w:cs="宋体"/>
          <w:color w:val="auto"/>
          <w:sz w:val="32"/>
          <w:szCs w:val="32"/>
        </w:rPr>
        <w:t>具有同一实施县（市、区）户籍</w:t>
      </w:r>
      <w:r>
        <w:rPr>
          <w:rFonts w:hint="eastAsia" w:ascii="仿宋_GB2312" w:hAnsi="仿宋_GB2312" w:eastAsia="仿宋_GB2312" w:cs="仿宋_GB2312"/>
          <w:color w:val="auto"/>
          <w:sz w:val="32"/>
          <w:szCs w:val="32"/>
        </w:rPr>
        <w:t>；</w:t>
      </w:r>
      <w:r>
        <w:rPr>
          <w:rFonts w:hint="eastAsia" w:ascii="仿宋_GB2312" w:hAnsi="Calibri" w:eastAsia="仿宋_GB2312" w:cs="Times New Roman"/>
          <w:color w:val="auto"/>
          <w:sz w:val="32"/>
          <w:szCs w:val="32"/>
        </w:rPr>
        <w:t>（3）本人</w:t>
      </w:r>
      <w:r>
        <w:rPr>
          <w:rFonts w:hint="eastAsia" w:ascii="仿宋_GB2312" w:hAnsi="宋体" w:eastAsia="仿宋_GB2312" w:cs="宋体"/>
          <w:color w:val="auto"/>
          <w:sz w:val="32"/>
          <w:szCs w:val="32"/>
        </w:rPr>
        <w:t>具有户籍地县（市、区)</w:t>
      </w:r>
      <w:r>
        <w:rPr>
          <w:rFonts w:hint="eastAsia" w:ascii="仿宋_GB2312" w:hAnsi="Calibri" w:eastAsia="仿宋_GB2312" w:cs="Times New Roman"/>
          <w:color w:val="auto"/>
          <w:sz w:val="32"/>
          <w:szCs w:val="32"/>
        </w:rPr>
        <w:t>高中连续3年（6学期）学籍并实际就读</w:t>
      </w:r>
      <w:r>
        <w:rPr>
          <w:rFonts w:hint="eastAsia" w:ascii="仿宋_GB2312" w:hAnsi="仿宋_GB2312" w:eastAsia="仿宋_GB2312" w:cs="仿宋_GB2312"/>
          <w:color w:val="auto"/>
          <w:sz w:val="32"/>
          <w:szCs w:val="32"/>
        </w:rPr>
        <w:t>。</w:t>
      </w:r>
    </w:p>
    <w:p w14:paraId="18270B04">
      <w:pPr>
        <w:spacing w:line="585" w:lineRule="exact"/>
        <w:ind w:firstLine="640" w:firstLineChars="200"/>
        <w:rPr>
          <w:rFonts w:ascii="黑体" w:hAnsi="黑体" w:eastAsia="黑体" w:cs="Times New Roman"/>
          <w:color w:val="auto"/>
          <w:sz w:val="32"/>
          <w:szCs w:val="32"/>
        </w:rPr>
      </w:pPr>
      <w:r>
        <w:rPr>
          <w:rFonts w:hint="eastAsia" w:ascii="黑体" w:hAnsi="黑体" w:eastAsia="黑体" w:cs="Times New Roman"/>
          <w:color w:val="auto"/>
          <w:sz w:val="32"/>
          <w:szCs w:val="32"/>
        </w:rPr>
        <w:t>二、高校专项</w:t>
      </w:r>
    </w:p>
    <w:p w14:paraId="33D688C7">
      <w:pPr>
        <w:spacing w:line="585" w:lineRule="exact"/>
        <w:ind w:firstLine="640" w:firstLineChars="200"/>
        <w:rPr>
          <w:rFonts w:ascii="仿宋_GB2312" w:hAnsi="仿宋" w:eastAsia="仿宋_GB2312" w:cs="Times New Roman"/>
          <w:color w:val="auto"/>
          <w:sz w:val="32"/>
          <w:szCs w:val="32"/>
        </w:rPr>
      </w:pPr>
      <w:r>
        <w:rPr>
          <w:rFonts w:hint="eastAsia" w:ascii="仿宋_GB2312" w:hAnsi="仿宋" w:eastAsia="仿宋_GB2312" w:cs="Times New Roman"/>
          <w:color w:val="auto"/>
          <w:sz w:val="32"/>
          <w:szCs w:val="32"/>
        </w:rPr>
        <w:t>我省高校专项计划实施区域为脱贫县和原中央苏区振兴发展规划县（合计58个）：修水县、都昌县、莲花县、安源区、芦溪县、渝水区、分宜县、余江区、贵溪市、赣县、上犹县、安远县、宁都县、于都县、兴国县、会昌县、寻乌县、石城县、瑞金市、南康区、章贡区、信丰县、定南县、全南县、崇义县、大余县、龙南市、遂川县、万安县、永新县、吉安县、吉州区、青原区、吉水县、峡江县、永丰县、安福县、新干县、泰和县、井冈山市、袁州区、樟树市、广信区、横峰县、余干县、鄱阳县、铅山县、弋阳县、广丰区、乐安县、广昌县、南城县、黎川县、南丰县、崇仁县、宜黄县、金溪县、资溪县。</w:t>
      </w:r>
    </w:p>
    <w:p w14:paraId="6A00E713">
      <w:pPr>
        <w:spacing w:line="585" w:lineRule="exact"/>
        <w:ind w:firstLine="640" w:firstLineChars="200"/>
        <w:rPr>
          <w:rFonts w:ascii="仿宋_GB2312" w:hAnsi="仿宋" w:eastAsia="仿宋_GB2312" w:cs="Times New Roman"/>
          <w:color w:val="auto"/>
          <w:sz w:val="32"/>
          <w:szCs w:val="32"/>
        </w:rPr>
      </w:pPr>
      <w:r>
        <w:rPr>
          <w:rFonts w:hint="eastAsia" w:ascii="仿宋_GB2312" w:hAnsi="仿宋" w:eastAsia="仿宋_GB2312" w:cs="Times New Roman"/>
          <w:color w:val="auto"/>
          <w:sz w:val="32"/>
          <w:szCs w:val="32"/>
        </w:rPr>
        <w:t>报考条件：（1）本人自高一开始（不晚于当年9月1日）至今</w:t>
      </w:r>
      <w:r>
        <w:rPr>
          <w:rFonts w:hint="eastAsia" w:ascii="仿宋_GB2312" w:hAnsi="仿宋" w:eastAsia="仿宋_GB2312" w:cs="Times New Roman"/>
          <w:color w:val="auto"/>
          <w:sz w:val="32"/>
          <w:szCs w:val="32"/>
          <w:lang w:val="en-US" w:eastAsia="zh-CN"/>
        </w:rPr>
        <w:t>具有</w:t>
      </w:r>
      <w:r>
        <w:rPr>
          <w:rFonts w:hint="eastAsia" w:ascii="仿宋_GB2312" w:hAnsi="仿宋" w:eastAsia="仿宋_GB2312" w:cs="Times New Roman"/>
          <w:color w:val="auto"/>
          <w:sz w:val="32"/>
          <w:szCs w:val="32"/>
        </w:rPr>
        <w:t>同一实施县（市、区）农村</w:t>
      </w:r>
      <w:r>
        <w:rPr>
          <w:rFonts w:hint="eastAsia" w:ascii="仿宋_GB2312" w:hAnsi="仿宋" w:eastAsia="仿宋_GB2312" w:cs="Times New Roman"/>
          <w:color w:val="auto"/>
          <w:sz w:val="32"/>
          <w:szCs w:val="32"/>
          <w:lang w:val="en-US" w:eastAsia="zh-CN"/>
        </w:rPr>
        <w:t>户籍</w:t>
      </w:r>
      <w:r>
        <w:rPr>
          <w:rFonts w:hint="eastAsia" w:ascii="仿宋_GB2312" w:hAnsi="仿宋" w:eastAsia="仿宋_GB2312" w:cs="Times New Roman"/>
          <w:color w:val="auto"/>
          <w:sz w:val="32"/>
          <w:szCs w:val="32"/>
        </w:rPr>
        <w:t>，并在当地完成202</w:t>
      </w:r>
      <w:r>
        <w:rPr>
          <w:rFonts w:hint="eastAsia" w:ascii="仿宋_GB2312" w:hAnsi="仿宋" w:eastAsia="仿宋_GB2312" w:cs="Times New Roman"/>
          <w:color w:val="auto"/>
          <w:sz w:val="32"/>
          <w:szCs w:val="32"/>
          <w:lang w:val="en-US" w:eastAsia="zh-CN"/>
        </w:rPr>
        <w:t>7</w:t>
      </w:r>
      <w:r>
        <w:rPr>
          <w:rFonts w:hint="eastAsia" w:ascii="仿宋_GB2312" w:hAnsi="仿宋" w:eastAsia="仿宋_GB2312" w:cs="Times New Roman"/>
          <w:color w:val="auto"/>
          <w:sz w:val="32"/>
          <w:szCs w:val="32"/>
        </w:rPr>
        <w:t>年普通高考报名；（2）本人父亲或母亲或法定监护人</w:t>
      </w:r>
      <w:r>
        <w:rPr>
          <w:rFonts w:hint="eastAsia" w:ascii="仿宋_GB2312" w:hAnsi="仿宋" w:eastAsia="仿宋_GB2312" w:cs="Times New Roman"/>
          <w:color w:val="auto"/>
          <w:sz w:val="32"/>
          <w:szCs w:val="32"/>
          <w:lang w:val="en-US" w:eastAsia="zh-CN"/>
        </w:rPr>
        <w:t>与本人具有</w:t>
      </w:r>
      <w:r>
        <w:rPr>
          <w:rFonts w:hint="eastAsia" w:ascii="仿宋_GB2312" w:hAnsi="仿宋" w:eastAsia="仿宋_GB2312" w:cs="Times New Roman"/>
          <w:color w:val="auto"/>
          <w:sz w:val="32"/>
          <w:szCs w:val="32"/>
        </w:rPr>
        <w:t>同一县（市、区）农村</w:t>
      </w:r>
      <w:r>
        <w:rPr>
          <w:rFonts w:hint="eastAsia" w:ascii="仿宋_GB2312" w:hAnsi="仿宋" w:eastAsia="仿宋_GB2312" w:cs="Times New Roman"/>
          <w:color w:val="auto"/>
          <w:sz w:val="32"/>
          <w:szCs w:val="32"/>
          <w:lang w:val="en-US" w:eastAsia="zh-CN"/>
        </w:rPr>
        <w:t>户籍</w:t>
      </w:r>
      <w:r>
        <w:rPr>
          <w:rFonts w:hint="eastAsia" w:ascii="仿宋_GB2312" w:hAnsi="仿宋" w:eastAsia="仿宋_GB2312" w:cs="Times New Roman"/>
          <w:color w:val="auto"/>
          <w:sz w:val="32"/>
          <w:szCs w:val="32"/>
        </w:rPr>
        <w:t>；（3）本人自高一开始具有户籍地县（市、区）高中连续3年（6个学期）学籍并实际就读。</w:t>
      </w:r>
    </w:p>
    <w:p w14:paraId="65DCA4F0">
      <w:pPr>
        <w:spacing w:line="585" w:lineRule="exact"/>
        <w:ind w:firstLine="640" w:firstLineChars="200"/>
        <w:rPr>
          <w:rFonts w:ascii="黑体" w:hAnsi="黑体" w:eastAsia="黑体" w:cs="Times New Roman"/>
          <w:color w:val="auto"/>
          <w:sz w:val="32"/>
          <w:szCs w:val="32"/>
        </w:rPr>
      </w:pPr>
      <w:r>
        <w:rPr>
          <w:rFonts w:hint="eastAsia" w:ascii="黑体" w:hAnsi="黑体" w:eastAsia="黑体" w:cs="Times New Roman"/>
          <w:color w:val="auto"/>
          <w:sz w:val="32"/>
          <w:szCs w:val="32"/>
        </w:rPr>
        <w:t>三、地方专项（含农村订单定向医学生）</w:t>
      </w:r>
    </w:p>
    <w:p w14:paraId="7A1F6456">
      <w:pPr>
        <w:spacing w:line="585" w:lineRule="exact"/>
        <w:ind w:firstLine="640" w:firstLineChars="200"/>
        <w:rPr>
          <w:rFonts w:ascii="仿宋_GB2312" w:hAnsi="仿宋" w:eastAsia="仿宋_GB2312" w:cs="Times New Roman"/>
          <w:color w:val="auto"/>
          <w:sz w:val="32"/>
          <w:szCs w:val="32"/>
        </w:rPr>
      </w:pPr>
      <w:r>
        <w:rPr>
          <w:rFonts w:hint="eastAsia" w:ascii="仿宋_GB2312" w:hAnsi="仿宋" w:eastAsia="仿宋_GB2312" w:cs="Times New Roman"/>
          <w:color w:val="auto"/>
          <w:sz w:val="32"/>
          <w:szCs w:val="32"/>
        </w:rPr>
        <w:t>我省地方专项计划实施区域为江西省</w:t>
      </w:r>
      <w:r>
        <w:rPr>
          <w:rFonts w:hint="eastAsia" w:ascii="仿宋_GB2312" w:hAnsi="仿宋_GB2312" w:eastAsia="仿宋_GB2312" w:cs="仿宋_GB2312"/>
          <w:color w:val="auto"/>
          <w:sz w:val="32"/>
          <w:szCs w:val="32"/>
        </w:rPr>
        <w:t>农村地区</w:t>
      </w:r>
      <w:r>
        <w:rPr>
          <w:rFonts w:hint="eastAsia" w:ascii="仿宋_GB2312" w:hAnsi="仿宋" w:eastAsia="仿宋_GB2312" w:cs="Times New Roman"/>
          <w:color w:val="auto"/>
          <w:sz w:val="32"/>
          <w:szCs w:val="32"/>
        </w:rPr>
        <w:t>。</w:t>
      </w:r>
    </w:p>
    <w:p w14:paraId="67C57AC4">
      <w:pPr>
        <w:spacing w:line="585"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s="Times New Roman"/>
          <w:color w:val="auto"/>
          <w:sz w:val="32"/>
          <w:szCs w:val="32"/>
        </w:rPr>
        <w:t>报考条件：</w:t>
      </w:r>
      <w:r>
        <w:rPr>
          <w:rFonts w:hint="eastAsia" w:ascii="仿宋_GB2312" w:hAnsi="仿宋_GB2312" w:eastAsia="仿宋_GB2312" w:cs="仿宋_GB2312"/>
          <w:color w:val="auto"/>
          <w:sz w:val="32"/>
          <w:szCs w:val="32"/>
        </w:rPr>
        <w:t>（1）已在我省完成202</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年普通高考报名；</w:t>
      </w:r>
      <w:r>
        <w:rPr>
          <w:rFonts w:hint="eastAsia" w:ascii="仿宋_GB2312" w:hAnsi="宋体" w:eastAsia="仿宋_GB2312" w:cs="宋体"/>
          <w:color w:val="auto"/>
          <w:sz w:val="32"/>
          <w:szCs w:val="32"/>
        </w:rPr>
        <w:t>（2）</w:t>
      </w:r>
      <w:r>
        <w:rPr>
          <w:rFonts w:hint="eastAsia" w:ascii="仿宋_GB2312" w:hAnsi="仿宋_GB2312" w:eastAsia="仿宋_GB2312" w:cs="仿宋_GB2312"/>
          <w:color w:val="auto"/>
          <w:sz w:val="32"/>
          <w:szCs w:val="32"/>
        </w:rPr>
        <w:t>本人自高一开始（不晚于当年9月1日）至今</w:t>
      </w:r>
      <w:r>
        <w:rPr>
          <w:rFonts w:hint="eastAsia" w:ascii="仿宋_GB2312" w:hAnsi="仿宋_GB2312" w:eastAsia="仿宋_GB2312" w:cs="仿宋_GB2312"/>
          <w:color w:val="auto"/>
          <w:sz w:val="32"/>
          <w:szCs w:val="32"/>
          <w:lang w:val="en-US" w:eastAsia="zh-CN"/>
        </w:rPr>
        <w:t>具有</w:t>
      </w:r>
      <w:r>
        <w:rPr>
          <w:rFonts w:hint="eastAsia" w:ascii="仿宋_GB2312" w:hAnsi="仿宋_GB2312" w:eastAsia="仿宋_GB2312" w:cs="仿宋_GB2312"/>
          <w:color w:val="auto"/>
          <w:sz w:val="32"/>
          <w:szCs w:val="32"/>
        </w:rPr>
        <w:t>江西省农村</w:t>
      </w:r>
      <w:r>
        <w:rPr>
          <w:rFonts w:hint="eastAsia" w:ascii="仿宋_GB2312" w:hAnsi="仿宋_GB2312" w:eastAsia="仿宋_GB2312" w:cs="仿宋_GB2312"/>
          <w:color w:val="auto"/>
          <w:sz w:val="32"/>
          <w:szCs w:val="32"/>
          <w:lang w:val="en-US" w:eastAsia="zh-CN"/>
        </w:rPr>
        <w:t>户籍</w:t>
      </w:r>
      <w:r>
        <w:rPr>
          <w:rFonts w:hint="eastAsia" w:ascii="仿宋_GB2312" w:hAnsi="仿宋_GB2312" w:eastAsia="仿宋_GB2312" w:cs="仿宋_GB2312"/>
          <w:color w:val="auto"/>
          <w:sz w:val="32"/>
          <w:szCs w:val="32"/>
        </w:rPr>
        <w:t>。</w:t>
      </w:r>
    </w:p>
    <w:p w14:paraId="6C3AE961">
      <w:pPr>
        <w:spacing w:line="585" w:lineRule="exact"/>
        <w:ind w:firstLine="640" w:firstLineChars="200"/>
        <w:rPr>
          <w:rFonts w:ascii="黑体" w:hAnsi="黑体" w:eastAsia="黑体" w:cs="Times New Roman"/>
          <w:color w:val="auto"/>
          <w:sz w:val="32"/>
          <w:szCs w:val="32"/>
        </w:rPr>
      </w:pPr>
      <w:r>
        <w:rPr>
          <w:rFonts w:hint="eastAsia" w:ascii="黑体" w:hAnsi="黑体" w:eastAsia="黑体" w:cs="Times New Roman"/>
          <w:color w:val="auto"/>
          <w:sz w:val="32"/>
          <w:szCs w:val="32"/>
        </w:rPr>
        <w:t>四、苏区专项</w:t>
      </w:r>
    </w:p>
    <w:p w14:paraId="420A6C2E">
      <w:pPr>
        <w:spacing w:line="585" w:lineRule="exact"/>
        <w:ind w:firstLine="640" w:firstLineChars="200"/>
        <w:rPr>
          <w:rFonts w:ascii="仿宋_GB2312" w:hAnsi="仿宋" w:eastAsia="仿宋_GB2312" w:cs="Times New Roman"/>
          <w:color w:val="auto"/>
          <w:sz w:val="32"/>
          <w:szCs w:val="32"/>
        </w:rPr>
      </w:pPr>
      <w:r>
        <w:rPr>
          <w:rFonts w:hint="eastAsia" w:ascii="仿宋_GB2312" w:hAnsi="仿宋" w:eastAsia="仿宋_GB2312" w:cs="Times New Roman"/>
          <w:color w:val="auto"/>
          <w:sz w:val="32"/>
          <w:szCs w:val="32"/>
        </w:rPr>
        <w:t>苏区专项计划实施区域为54个原中央苏区振兴发展规划县：赣州市（18个县）、吉安市（13个县）、新余市（2个县）全境，黎川县、广昌县、乐安县、宜黄县、崇仁县、南丰县、南城县、资溪县、金溪县、广丰区、铅山县、广信区、横峰县、弋阳县、袁州区、樟树市、安源区、莲花县、芦溪县、余江区、贵溪市。</w:t>
      </w:r>
    </w:p>
    <w:p w14:paraId="53352450">
      <w:pPr>
        <w:spacing w:line="585" w:lineRule="exact"/>
        <w:ind w:firstLine="640" w:firstLineChars="200"/>
        <w:rPr>
          <w:rFonts w:ascii="仿宋_GB2312" w:hAnsi="仿宋" w:eastAsia="仿宋_GB2312" w:cs="Times New Roman"/>
          <w:color w:val="auto"/>
          <w:sz w:val="32"/>
          <w:szCs w:val="32"/>
        </w:rPr>
      </w:pPr>
      <w:r>
        <w:rPr>
          <w:rFonts w:hint="eastAsia" w:ascii="仿宋_GB2312" w:hAnsi="仿宋" w:eastAsia="仿宋_GB2312" w:cs="Times New Roman"/>
          <w:color w:val="auto"/>
          <w:sz w:val="32"/>
          <w:szCs w:val="32"/>
        </w:rPr>
        <w:t>报考条件：(1)已在实施区域取得202</w:t>
      </w:r>
      <w:r>
        <w:rPr>
          <w:rFonts w:hint="eastAsia" w:ascii="仿宋_GB2312" w:hAnsi="仿宋" w:eastAsia="仿宋_GB2312" w:cs="Times New Roman"/>
          <w:color w:val="auto"/>
          <w:sz w:val="32"/>
          <w:szCs w:val="32"/>
          <w:lang w:val="en-US" w:eastAsia="zh-CN"/>
        </w:rPr>
        <w:t>7</w:t>
      </w:r>
      <w:r>
        <w:rPr>
          <w:rFonts w:hint="eastAsia" w:ascii="仿宋_GB2312" w:hAnsi="仿宋" w:eastAsia="仿宋_GB2312" w:cs="Times New Roman"/>
          <w:color w:val="auto"/>
          <w:sz w:val="32"/>
          <w:szCs w:val="32"/>
        </w:rPr>
        <w:t>年普通高考报名资格；</w:t>
      </w:r>
    </w:p>
    <w:p w14:paraId="3489F899">
      <w:pPr>
        <w:spacing w:line="585" w:lineRule="exact"/>
        <w:ind w:firstLine="0" w:firstLineChars="0"/>
        <w:rPr>
          <w:rFonts w:ascii="仿宋_GB2312" w:hAnsi="仿宋" w:eastAsia="仿宋_GB2312" w:cs="Times New Roman"/>
          <w:color w:val="auto"/>
          <w:sz w:val="32"/>
          <w:szCs w:val="32"/>
        </w:rPr>
      </w:pPr>
      <w:r>
        <w:rPr>
          <w:rFonts w:hint="eastAsia" w:ascii="仿宋_GB2312" w:hAnsi="仿宋" w:eastAsia="仿宋_GB2312" w:cs="Times New Roman"/>
          <w:color w:val="auto"/>
          <w:sz w:val="32"/>
          <w:szCs w:val="32"/>
        </w:rPr>
        <w:t>（2）</w:t>
      </w:r>
      <w:r>
        <w:rPr>
          <w:rFonts w:hint="eastAsia" w:ascii="仿宋_GB2312" w:hAnsi="仿宋" w:eastAsia="仿宋_GB2312" w:cs="Times New Roman"/>
          <w:color w:val="auto"/>
          <w:sz w:val="32"/>
          <w:szCs w:val="32"/>
          <w:lang w:val="en-US" w:eastAsia="zh-CN"/>
        </w:rPr>
        <w:t>本人</w:t>
      </w:r>
      <w:r>
        <w:rPr>
          <w:rFonts w:hint="eastAsia" w:ascii="仿宋_GB2312" w:hAnsi="Calibri" w:eastAsia="仿宋_GB2312" w:cs="Times New Roman"/>
          <w:color w:val="auto"/>
          <w:sz w:val="32"/>
          <w:szCs w:val="32"/>
        </w:rPr>
        <w:t>自高一开始（不晚于当年9月1日）至今</w:t>
      </w:r>
      <w:r>
        <w:rPr>
          <w:rFonts w:hint="eastAsia" w:ascii="仿宋_GB2312" w:hAnsi="Calibri" w:eastAsia="仿宋_GB2312" w:cs="Times New Roman"/>
          <w:color w:val="auto"/>
          <w:sz w:val="32"/>
          <w:szCs w:val="32"/>
          <w:lang w:val="en-US" w:eastAsia="zh-CN"/>
        </w:rPr>
        <w:t>具有</w:t>
      </w:r>
      <w:r>
        <w:rPr>
          <w:rFonts w:hint="eastAsia" w:ascii="仿宋_GB2312" w:hAnsi="Calibri" w:eastAsia="仿宋_GB2312" w:cs="Times New Roman"/>
          <w:color w:val="auto"/>
          <w:sz w:val="32"/>
          <w:szCs w:val="32"/>
        </w:rPr>
        <w:t>实施区域</w:t>
      </w:r>
      <w:r>
        <w:rPr>
          <w:rFonts w:hint="eastAsia" w:ascii="仿宋_GB2312" w:hAnsi="Calibri" w:eastAsia="仿宋_GB2312" w:cs="Times New Roman"/>
          <w:color w:val="auto"/>
          <w:sz w:val="32"/>
          <w:szCs w:val="32"/>
          <w:lang w:val="en-US" w:eastAsia="zh-CN"/>
        </w:rPr>
        <w:t>户籍</w:t>
      </w:r>
      <w:r>
        <w:rPr>
          <w:rFonts w:hint="eastAsia" w:ascii="仿宋_GB2312" w:hAnsi="Calibri" w:eastAsia="仿宋_GB2312" w:cs="Times New Roman"/>
          <w:color w:val="auto"/>
          <w:sz w:val="32"/>
          <w:szCs w:val="32"/>
          <w:lang w:eastAsia="zh-CN"/>
        </w:rPr>
        <w:t>。</w:t>
      </w:r>
    </w:p>
    <w:p w14:paraId="3F520B7C">
      <w:pPr>
        <w:spacing w:line="585" w:lineRule="exact"/>
        <w:ind w:firstLine="640" w:firstLineChars="200"/>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特别说明：</w:t>
      </w:r>
      <w:r>
        <w:rPr>
          <w:rFonts w:hint="eastAsia" w:ascii="仿宋_GB2312" w:hAnsi="仿宋" w:eastAsia="仿宋_GB2312" w:cs="Times New Roman"/>
          <w:color w:val="auto"/>
          <w:sz w:val="32"/>
          <w:szCs w:val="32"/>
          <w:lang w:val="en-US" w:eastAsia="zh-CN"/>
        </w:rPr>
        <w:t>1.</w:t>
      </w:r>
      <w:r>
        <w:rPr>
          <w:rFonts w:hint="eastAsia" w:ascii="仿宋_GB2312" w:hAnsi="仿宋" w:eastAsia="仿宋_GB2312" w:cs="Times New Roman"/>
          <w:b w:val="0"/>
          <w:bCs w:val="0"/>
          <w:color w:val="auto"/>
          <w:kern w:val="0"/>
          <w:sz w:val="32"/>
          <w:szCs w:val="32"/>
          <w:lang w:val="en-US" w:eastAsia="zh-CN"/>
        </w:rPr>
        <w:t>高校专项要求高考成绩不低于特殊类型招生录取控制线（简称特控线）。2.</w:t>
      </w:r>
      <w:r>
        <w:rPr>
          <w:rFonts w:hint="eastAsia" w:ascii="仿宋_GB2312" w:hAnsi="仿宋" w:eastAsia="仿宋_GB2312" w:cs="Times New Roman"/>
          <w:b w:val="0"/>
          <w:bCs w:val="0"/>
          <w:color w:val="auto"/>
          <w:sz w:val="32"/>
          <w:szCs w:val="32"/>
        </w:rPr>
        <w:t>如教育部对专项计划招生有新的政策要求，将及时公布并执行。</w:t>
      </w:r>
    </w:p>
    <w:p w14:paraId="39CB5724">
      <w:pPr>
        <w:spacing w:before="0" w:beforeAutospacing="0" w:after="0" w:afterAutospacing="0"/>
        <w:jc w:val="left"/>
        <w:rPr>
          <w:rFonts w:ascii="仿宋_GB2312" w:eastAsia="仿宋_GB2312"/>
          <w:color w:val="auto"/>
          <w:sz w:val="32"/>
          <w:szCs w:val="32"/>
        </w:rPr>
      </w:pPr>
    </w:p>
    <w:sectPr>
      <w:footerReference r:id="rId3" w:type="default"/>
      <w:footerReference r:id="rId4" w:type="even"/>
      <w:pgSz w:w="11906" w:h="16838"/>
      <w:pgMar w:top="2155" w:right="1435" w:bottom="1134" w:left="1435" w:header="851" w:footer="158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58500"/>
      <w:docPartObj>
        <w:docPartGallery w:val="autotext"/>
      </w:docPartObj>
    </w:sdtPr>
    <w:sdtContent>
      <w:p w14:paraId="3129D31F">
        <w:pPr>
          <w:pStyle w:val="5"/>
          <w:jc w:val="right"/>
        </w:pPr>
        <w:r>
          <w:rPr>
            <w:rFonts w:hint="eastAsia" w:asciiTheme="minorEastAsia" w:hAnsiTheme="minorEastAsia"/>
            <w:color w:val="FFFFFF" w:themeColor="background1"/>
            <w:sz w:val="28"/>
            <w:szCs w:val="28"/>
            <w14:textFill>
              <w14:solidFill>
                <w14:schemeClr w14:val="bg1"/>
              </w14:solidFill>
            </w14:textFill>
          </w:rPr>
          <w:t>—</w:t>
        </w: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11</w:t>
        </w:r>
        <w:r>
          <w:rPr>
            <w:rFonts w:asciiTheme="minorEastAsia" w:hAnsiTheme="minorEastAsia"/>
            <w:sz w:val="28"/>
            <w:szCs w:val="28"/>
          </w:rPr>
          <w:fldChar w:fldCharType="end"/>
        </w:r>
        <w:r>
          <w:rPr>
            <w:rFonts w:hint="eastAsia" w:asciiTheme="minorEastAsia" w:hAnsiTheme="minorEastAsia"/>
            <w:sz w:val="28"/>
            <w:szCs w:val="28"/>
          </w:rPr>
          <w:t xml:space="preserve"> —</w:t>
        </w:r>
        <w:r>
          <w:rPr>
            <w:rFonts w:hint="eastAsia" w:asciiTheme="minorEastAsia" w:hAnsiTheme="minorEastAsia"/>
            <w:color w:val="FFFFFF" w:themeColor="background1"/>
            <w:sz w:val="28"/>
            <w:szCs w:val="28"/>
            <w14:textFill>
              <w14:solidFill>
                <w14:schemeClr w14:val="bg1"/>
              </w14:solidFill>
            </w14:textFill>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58501"/>
      <w:docPartObj>
        <w:docPartGallery w:val="autotext"/>
      </w:docPartObj>
    </w:sdtPr>
    <w:sdtContent>
      <w:p w14:paraId="6786E211">
        <w:pPr>
          <w:pStyle w:val="5"/>
        </w:pPr>
        <w:r>
          <w:rPr>
            <w:rFonts w:hint="eastAsia" w:asciiTheme="minorEastAsia" w:hAnsiTheme="minorEastAsia"/>
            <w:color w:val="FFFFFF" w:themeColor="background1"/>
            <w:sz w:val="28"/>
            <w:szCs w:val="28"/>
            <w14:textFill>
              <w14:solidFill>
                <w14:schemeClr w14:val="bg1"/>
              </w14:solidFill>
            </w14:textFill>
          </w:rPr>
          <w:t>—</w:t>
        </w: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12</w:t>
        </w:r>
        <w:r>
          <w:rPr>
            <w:rFonts w:asciiTheme="minorEastAsia" w:hAnsiTheme="minorEastAsia"/>
            <w:sz w:val="28"/>
            <w:szCs w:val="28"/>
          </w:rPr>
          <w:fldChar w:fldCharType="end"/>
        </w:r>
        <w:r>
          <w:rPr>
            <w:rFonts w:hint="eastAsia" w:asciiTheme="minorEastAsia" w:hAnsiTheme="minorEastAsia"/>
            <w:sz w:val="28"/>
            <w:szCs w:val="28"/>
          </w:rPr>
          <w:t xml:space="preserve"> —</w:t>
        </w:r>
        <w:r>
          <w:rPr>
            <w:rFonts w:hint="eastAsia" w:asciiTheme="minorEastAsia" w:hAnsiTheme="minorEastAsia"/>
            <w:color w:val="FFFFFF" w:themeColor="background1"/>
            <w:sz w:val="28"/>
            <w:szCs w:val="28"/>
            <w14:textFill>
              <w14:solidFill>
                <w14:schemeClr w14:val="bg1"/>
              </w14:solidFill>
            </w14:textFill>
          </w:rPr>
          <w:t>—</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M_UUID" w:val="113664cf-bf46-421d-96c5-7161486c9a60"/>
  </w:docVars>
  <w:rsids>
    <w:rsidRoot w:val="00171C61"/>
    <w:rsid w:val="00071B10"/>
    <w:rsid w:val="000B2F69"/>
    <w:rsid w:val="000E7F5B"/>
    <w:rsid w:val="001329A0"/>
    <w:rsid w:val="00171C61"/>
    <w:rsid w:val="001A4DCD"/>
    <w:rsid w:val="001D49E7"/>
    <w:rsid w:val="001E4834"/>
    <w:rsid w:val="00200F69"/>
    <w:rsid w:val="00266A17"/>
    <w:rsid w:val="0027189D"/>
    <w:rsid w:val="002B4399"/>
    <w:rsid w:val="002D3F5C"/>
    <w:rsid w:val="0033651A"/>
    <w:rsid w:val="00397E38"/>
    <w:rsid w:val="003D59B2"/>
    <w:rsid w:val="004101C2"/>
    <w:rsid w:val="00447C19"/>
    <w:rsid w:val="004717D6"/>
    <w:rsid w:val="004A65B5"/>
    <w:rsid w:val="004B5EDE"/>
    <w:rsid w:val="005334E5"/>
    <w:rsid w:val="005961B3"/>
    <w:rsid w:val="005E0C5E"/>
    <w:rsid w:val="00646020"/>
    <w:rsid w:val="00687F14"/>
    <w:rsid w:val="006D2329"/>
    <w:rsid w:val="006E1094"/>
    <w:rsid w:val="00713D55"/>
    <w:rsid w:val="007F1423"/>
    <w:rsid w:val="008107E9"/>
    <w:rsid w:val="00867F8F"/>
    <w:rsid w:val="00887C36"/>
    <w:rsid w:val="008B028F"/>
    <w:rsid w:val="008F5F8A"/>
    <w:rsid w:val="00932AC5"/>
    <w:rsid w:val="009702F5"/>
    <w:rsid w:val="00986E7C"/>
    <w:rsid w:val="009A7428"/>
    <w:rsid w:val="009F6BA6"/>
    <w:rsid w:val="00A03DA8"/>
    <w:rsid w:val="00A06223"/>
    <w:rsid w:val="00A141BC"/>
    <w:rsid w:val="00A418B7"/>
    <w:rsid w:val="00A82E19"/>
    <w:rsid w:val="00AA710F"/>
    <w:rsid w:val="00AC6573"/>
    <w:rsid w:val="00B912D0"/>
    <w:rsid w:val="00B93615"/>
    <w:rsid w:val="00BA477F"/>
    <w:rsid w:val="00BB0331"/>
    <w:rsid w:val="00BF127C"/>
    <w:rsid w:val="00C110C3"/>
    <w:rsid w:val="00C11C19"/>
    <w:rsid w:val="00C47046"/>
    <w:rsid w:val="00C64294"/>
    <w:rsid w:val="00C66FA3"/>
    <w:rsid w:val="00C803E8"/>
    <w:rsid w:val="00CA6FB8"/>
    <w:rsid w:val="00D05A59"/>
    <w:rsid w:val="00D74585"/>
    <w:rsid w:val="00D9414B"/>
    <w:rsid w:val="00DC6ED7"/>
    <w:rsid w:val="00DE0AB1"/>
    <w:rsid w:val="00E2057A"/>
    <w:rsid w:val="00E324F6"/>
    <w:rsid w:val="00ED4441"/>
    <w:rsid w:val="00ED4ADF"/>
    <w:rsid w:val="00F0118B"/>
    <w:rsid w:val="00F25DE8"/>
    <w:rsid w:val="00F2605E"/>
    <w:rsid w:val="00F52A49"/>
    <w:rsid w:val="00F90F81"/>
    <w:rsid w:val="00FA338F"/>
    <w:rsid w:val="00FB23B1"/>
    <w:rsid w:val="00FC4A69"/>
    <w:rsid w:val="013942B8"/>
    <w:rsid w:val="01F87DB5"/>
    <w:rsid w:val="03276155"/>
    <w:rsid w:val="03530C53"/>
    <w:rsid w:val="04316146"/>
    <w:rsid w:val="04BA34A2"/>
    <w:rsid w:val="04C24A70"/>
    <w:rsid w:val="05673E72"/>
    <w:rsid w:val="05D207CF"/>
    <w:rsid w:val="072F69C6"/>
    <w:rsid w:val="08066766"/>
    <w:rsid w:val="0A824FF6"/>
    <w:rsid w:val="0AF067DF"/>
    <w:rsid w:val="0B3A5AB4"/>
    <w:rsid w:val="0D531334"/>
    <w:rsid w:val="0EAC7EC9"/>
    <w:rsid w:val="0F9A36A5"/>
    <w:rsid w:val="104774EA"/>
    <w:rsid w:val="12CA0623"/>
    <w:rsid w:val="12D84E4F"/>
    <w:rsid w:val="134E5148"/>
    <w:rsid w:val="136C4A45"/>
    <w:rsid w:val="14177848"/>
    <w:rsid w:val="1513457B"/>
    <w:rsid w:val="155E6F79"/>
    <w:rsid w:val="166372F4"/>
    <w:rsid w:val="174135DE"/>
    <w:rsid w:val="174A3EE7"/>
    <w:rsid w:val="181A5617"/>
    <w:rsid w:val="194404B7"/>
    <w:rsid w:val="1AF91F35"/>
    <w:rsid w:val="1B6B4471"/>
    <w:rsid w:val="1C154984"/>
    <w:rsid w:val="1D9C7E3F"/>
    <w:rsid w:val="1E3B1F30"/>
    <w:rsid w:val="1E8079E2"/>
    <w:rsid w:val="1ED3574A"/>
    <w:rsid w:val="1EFFA797"/>
    <w:rsid w:val="20880673"/>
    <w:rsid w:val="20AA64EB"/>
    <w:rsid w:val="20FA7E27"/>
    <w:rsid w:val="23C1633C"/>
    <w:rsid w:val="253861AC"/>
    <w:rsid w:val="256F5577"/>
    <w:rsid w:val="25FA50CC"/>
    <w:rsid w:val="26F90B1B"/>
    <w:rsid w:val="29CC07CC"/>
    <w:rsid w:val="29E635B2"/>
    <w:rsid w:val="2A1A5A1E"/>
    <w:rsid w:val="2B900DB6"/>
    <w:rsid w:val="2BC803DB"/>
    <w:rsid w:val="2C824534"/>
    <w:rsid w:val="2D0D2DBD"/>
    <w:rsid w:val="2D4733F9"/>
    <w:rsid w:val="2E203A49"/>
    <w:rsid w:val="2EC8567B"/>
    <w:rsid w:val="2F067AF2"/>
    <w:rsid w:val="2F0F0644"/>
    <w:rsid w:val="2FD14261"/>
    <w:rsid w:val="32C3497D"/>
    <w:rsid w:val="34FF47B1"/>
    <w:rsid w:val="354B1E47"/>
    <w:rsid w:val="36B91E78"/>
    <w:rsid w:val="38AB76D3"/>
    <w:rsid w:val="38B469F5"/>
    <w:rsid w:val="38C309B7"/>
    <w:rsid w:val="38D10AEB"/>
    <w:rsid w:val="390F62E6"/>
    <w:rsid w:val="398542B6"/>
    <w:rsid w:val="39EA5508"/>
    <w:rsid w:val="3A7B5B71"/>
    <w:rsid w:val="3BFAE52A"/>
    <w:rsid w:val="3C312B01"/>
    <w:rsid w:val="3DC15188"/>
    <w:rsid w:val="3DDD7653"/>
    <w:rsid w:val="3EF17102"/>
    <w:rsid w:val="3F466B28"/>
    <w:rsid w:val="3FF62034"/>
    <w:rsid w:val="400C3360"/>
    <w:rsid w:val="40A57B10"/>
    <w:rsid w:val="43134265"/>
    <w:rsid w:val="431A0FFA"/>
    <w:rsid w:val="43592A13"/>
    <w:rsid w:val="44B00022"/>
    <w:rsid w:val="44E455DC"/>
    <w:rsid w:val="45294100"/>
    <w:rsid w:val="46E26B2B"/>
    <w:rsid w:val="471D70FC"/>
    <w:rsid w:val="48C041DD"/>
    <w:rsid w:val="48C35B6E"/>
    <w:rsid w:val="49882934"/>
    <w:rsid w:val="49BE0BE3"/>
    <w:rsid w:val="4A0B5270"/>
    <w:rsid w:val="4CC254E6"/>
    <w:rsid w:val="4CE408E7"/>
    <w:rsid w:val="4DC86A7B"/>
    <w:rsid w:val="4E141480"/>
    <w:rsid w:val="4EEF487A"/>
    <w:rsid w:val="50CD6CD7"/>
    <w:rsid w:val="51B10848"/>
    <w:rsid w:val="527C56D7"/>
    <w:rsid w:val="52DD5B0E"/>
    <w:rsid w:val="54141444"/>
    <w:rsid w:val="5485022E"/>
    <w:rsid w:val="551908A2"/>
    <w:rsid w:val="577F4600"/>
    <w:rsid w:val="591837AA"/>
    <w:rsid w:val="5A152EAA"/>
    <w:rsid w:val="5A641D8D"/>
    <w:rsid w:val="5BD96BFF"/>
    <w:rsid w:val="5E236314"/>
    <w:rsid w:val="5F2E7D5D"/>
    <w:rsid w:val="5FF52193"/>
    <w:rsid w:val="61DD44A1"/>
    <w:rsid w:val="637DDFAA"/>
    <w:rsid w:val="63DA61F5"/>
    <w:rsid w:val="649E1F82"/>
    <w:rsid w:val="6552263B"/>
    <w:rsid w:val="65A134E8"/>
    <w:rsid w:val="661734D0"/>
    <w:rsid w:val="663F4824"/>
    <w:rsid w:val="666440DF"/>
    <w:rsid w:val="67226FC5"/>
    <w:rsid w:val="67B745B3"/>
    <w:rsid w:val="686D5703"/>
    <w:rsid w:val="686F60CA"/>
    <w:rsid w:val="69C77E24"/>
    <w:rsid w:val="6B055E18"/>
    <w:rsid w:val="6B774849"/>
    <w:rsid w:val="6BBF1117"/>
    <w:rsid w:val="6D367553"/>
    <w:rsid w:val="6E481A15"/>
    <w:rsid w:val="6E5D79A3"/>
    <w:rsid w:val="6E853189"/>
    <w:rsid w:val="6F3E05E1"/>
    <w:rsid w:val="700F5225"/>
    <w:rsid w:val="70515AB5"/>
    <w:rsid w:val="70C544D2"/>
    <w:rsid w:val="70D14357"/>
    <w:rsid w:val="71676144"/>
    <w:rsid w:val="756C5246"/>
    <w:rsid w:val="763B18D0"/>
    <w:rsid w:val="766F6EBB"/>
    <w:rsid w:val="77876861"/>
    <w:rsid w:val="77C34864"/>
    <w:rsid w:val="783A50C8"/>
    <w:rsid w:val="78BF2F9D"/>
    <w:rsid w:val="794856D3"/>
    <w:rsid w:val="7B1231BF"/>
    <w:rsid w:val="7B722224"/>
    <w:rsid w:val="7CD0499E"/>
    <w:rsid w:val="7CF7DB43"/>
    <w:rsid w:val="7D0D1C4E"/>
    <w:rsid w:val="7DFF84BC"/>
    <w:rsid w:val="7EE253B9"/>
    <w:rsid w:val="7F0632D8"/>
    <w:rsid w:val="BF3E31FF"/>
    <w:rsid w:val="CFFFB778"/>
    <w:rsid w:val="D4BBA04F"/>
    <w:rsid w:val="DFBD7A8C"/>
    <w:rsid w:val="EDF94002"/>
    <w:rsid w:val="EF2FB284"/>
    <w:rsid w:val="F7BBA54F"/>
    <w:rsid w:val="FBE358AE"/>
    <w:rsid w:val="FDF72F38"/>
    <w:rsid w:val="FF6F82C1"/>
    <w:rsid w:val="FFFFA9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15"/>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6"/>
    <w:qFormat/>
    <w:uiPriority w:val="0"/>
    <w:pPr>
      <w:ind w:left="100" w:leftChars="2500"/>
    </w:pPr>
  </w:style>
  <w:style w:type="paragraph" w:styleId="4">
    <w:name w:val="Balloon Text"/>
    <w:basedOn w:val="1"/>
    <w:link w:val="14"/>
    <w:qFormat/>
    <w:uiPriority w:val="0"/>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character" w:styleId="10">
    <w:name w:val="Strong"/>
    <w:basedOn w:val="9"/>
    <w:qFormat/>
    <w:uiPriority w:val="0"/>
    <w:rPr>
      <w:b/>
    </w:rPr>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页眉 Char"/>
    <w:basedOn w:val="9"/>
    <w:link w:val="6"/>
    <w:qFormat/>
    <w:uiPriority w:val="0"/>
    <w:rPr>
      <w:rFonts w:asciiTheme="minorHAnsi" w:hAnsiTheme="minorHAnsi" w:eastAsiaTheme="minorEastAsia" w:cstheme="minorBidi"/>
      <w:kern w:val="2"/>
      <w:sz w:val="18"/>
      <w:szCs w:val="18"/>
    </w:rPr>
  </w:style>
  <w:style w:type="character" w:customStyle="1" w:styleId="13">
    <w:name w:val="页脚 Char"/>
    <w:basedOn w:val="9"/>
    <w:link w:val="5"/>
    <w:qFormat/>
    <w:uiPriority w:val="99"/>
    <w:rPr>
      <w:rFonts w:asciiTheme="minorHAnsi" w:hAnsiTheme="minorHAnsi" w:eastAsiaTheme="minorEastAsia" w:cstheme="minorBidi"/>
      <w:kern w:val="2"/>
      <w:sz w:val="18"/>
      <w:szCs w:val="18"/>
    </w:rPr>
  </w:style>
  <w:style w:type="character" w:customStyle="1" w:styleId="14">
    <w:name w:val="批注框文本 Char"/>
    <w:basedOn w:val="9"/>
    <w:link w:val="4"/>
    <w:qFormat/>
    <w:uiPriority w:val="0"/>
    <w:rPr>
      <w:rFonts w:asciiTheme="minorHAnsi" w:hAnsiTheme="minorHAnsi" w:eastAsiaTheme="minorEastAsia" w:cstheme="minorBidi"/>
      <w:kern w:val="2"/>
      <w:sz w:val="18"/>
      <w:szCs w:val="18"/>
    </w:rPr>
  </w:style>
  <w:style w:type="character" w:customStyle="1" w:styleId="15">
    <w:name w:val="标题 2 Char"/>
    <w:basedOn w:val="9"/>
    <w:link w:val="2"/>
    <w:qFormat/>
    <w:uiPriority w:val="0"/>
    <w:rPr>
      <w:rFonts w:ascii="宋体" w:hAnsi="宋体" w:eastAsiaTheme="minorEastAsia" w:cstheme="minorBidi"/>
      <w:b/>
      <w:sz w:val="36"/>
      <w:szCs w:val="36"/>
    </w:rPr>
  </w:style>
  <w:style w:type="character" w:customStyle="1" w:styleId="16">
    <w:name w:val="日期 Char"/>
    <w:basedOn w:val="9"/>
    <w:link w:val="3"/>
    <w:qFormat/>
    <w:uiPriority w:val="0"/>
    <w:rPr>
      <w:rFonts w:asciiTheme="minorHAnsi" w:hAnsiTheme="minorHAnsi" w:eastAsiaTheme="minorEastAsia" w:cstheme="minorBidi"/>
      <w:kern w:val="2"/>
      <w:sz w:val="21"/>
      <w:szCs w:val="24"/>
    </w:rPr>
  </w:style>
  <w:style w:type="character" w:customStyle="1" w:styleId="17">
    <w:name w:val="font11"/>
    <w:basedOn w:val="9"/>
    <w:qFormat/>
    <w:uiPriority w:val="0"/>
    <w:rPr>
      <w:rFonts w:hint="eastAsia" w:ascii="仿宋_GB2312" w:eastAsia="仿宋_GB2312" w:cs="仿宋_GB2312"/>
      <w:color w:val="FF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1439</Words>
  <Characters>1493</Characters>
  <Lines>7</Lines>
  <Paragraphs>17</Paragraphs>
  <TotalTime>0</TotalTime>
  <ScaleCrop>false</ScaleCrop>
  <LinksUpToDate>false</LinksUpToDate>
  <CharactersWithSpaces>1708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2025-10-09T18:13:00Z</dcterms:created>
  <dc:creator>Administrator</dc:creator>
  <cp:lastModifiedBy>QiuSR</cp:lastModifiedBy>
  <cp:lastPrinted>2026-08-24T10:31:00Z</cp:lastPrinted>
  <dcterms:modified xsi:type="dcterms:W3CDTF">2026-09-10T09:28:28Z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eyJoZGlkIjoiZWQxN2Q0ODMxMzNlMmNkNjhiZWZjMWE4MDEzOWRiYzEiLCJ1c2VySWQiOiIxODQxNDUzOTgyIn0=</vt:lpwstr>
  </property>
  <property fmtid="{D5CDD505-2E9C-101B-9397-08002B2CF9AE}" pid="4" name="ICV">
    <vt:lpwstr>B2370AE2DE404852BE98AA46735D5FEF_13</vt:lpwstr>
  </property>
</Properties>
</file>