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</w:t>
      </w:r>
    </w:p>
    <w:tbl>
      <w:tblPr>
        <w:tblStyle w:val="3"/>
        <w:tblpPr w:leftFromText="180" w:rightFromText="180" w:vertAnchor="text" w:horzAnchor="page" w:tblpX="1687" w:tblpY="387"/>
        <w:tblOverlap w:val="never"/>
        <w:tblW w:w="86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45"/>
        <w:gridCol w:w="2793"/>
        <w:gridCol w:w="2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3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年招收定向培养军士专业目录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</w:rPr>
              <w:t>定向培养高校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</w:rPr>
              <w:t>专业代码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</w:rPr>
              <w:t>专业名称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北京科技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大学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电气自动化技术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大数据技术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北京工业职业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技术学院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机电一体化技术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武昌职业学院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电子信息工程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湖南国防工业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职业技术学院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应用电子技术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长沙航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技术学院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导弹维修技术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成都航空职业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技术学院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无人机应用技术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通用航空器维修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</w:tbl>
    <w:p/>
    <w:p>
      <w:pPr>
        <w:rPr>
          <w:b/>
          <w:bCs/>
        </w:rPr>
      </w:pPr>
    </w:p>
    <w:p>
      <w:pPr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</w:rPr>
        <w:t>具体以《北京市202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年普通高等学校招生专业目录》为准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5286F"/>
    <w:rsid w:val="5CEA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2025-06-12T02:01:34Z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