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5B" w:rsidRPr="006F086E" w:rsidRDefault="005A4B5B" w:rsidP="006F086E">
      <w:pPr>
        <w:spacing w:after="0"/>
        <w:ind w:firstLineChars="0" w:firstLine="0"/>
        <w:rPr>
          <w:rFonts w:ascii="黑体" w:eastAsia="黑体" w:hAnsi="黑体"/>
        </w:rPr>
      </w:pPr>
      <w:r w:rsidRPr="006F086E">
        <w:rPr>
          <w:rFonts w:ascii="黑体" w:eastAsia="黑体" w:hAnsi="黑体" w:hint="eastAsia"/>
        </w:rPr>
        <w:t>附件1</w:t>
      </w:r>
      <w:bookmarkStart w:id="0" w:name="_GoBack"/>
      <w:bookmarkEnd w:id="0"/>
    </w:p>
    <w:p w:rsidR="005A4B5B" w:rsidRDefault="005A4B5B" w:rsidP="006F086E">
      <w:pPr>
        <w:spacing w:after="0"/>
        <w:ind w:firstLineChars="0" w:firstLine="0"/>
        <w:jc w:val="center"/>
        <w:rPr>
          <w:rFonts w:ascii="方正小标宋简体" w:eastAsia="方正小标宋简体"/>
          <w:sz w:val="36"/>
          <w:szCs w:val="36"/>
        </w:rPr>
      </w:pPr>
    </w:p>
    <w:p w:rsidR="005A4B5B" w:rsidRDefault="00EA21D7" w:rsidP="006F086E">
      <w:pPr>
        <w:spacing w:after="0"/>
        <w:ind w:firstLineChars="0" w:firstLine="0"/>
        <w:jc w:val="center"/>
        <w:rPr>
          <w:rFonts w:ascii="方正小标宋简体" w:eastAsia="方正小标宋简体"/>
          <w:sz w:val="44"/>
          <w:szCs w:val="44"/>
        </w:rPr>
      </w:pPr>
      <w:r w:rsidRPr="006F086E">
        <w:rPr>
          <w:rFonts w:ascii="方正小标宋简体" w:eastAsia="方正小标宋简体" w:hint="eastAsia"/>
          <w:sz w:val="44"/>
          <w:szCs w:val="44"/>
        </w:rPr>
        <w:t>天津滨海高新区关于促进</w:t>
      </w:r>
      <w:bookmarkStart w:id="1" w:name="_Hlk111654769"/>
      <w:r w:rsidRPr="006F086E">
        <w:rPr>
          <w:rFonts w:ascii="方正小标宋简体" w:eastAsia="方正小标宋简体" w:hint="eastAsia"/>
          <w:sz w:val="44"/>
          <w:szCs w:val="44"/>
        </w:rPr>
        <w:t>细胞和基因治疗</w:t>
      </w:r>
    </w:p>
    <w:p w:rsidR="00461F7E" w:rsidRPr="006F086E" w:rsidRDefault="00EA21D7" w:rsidP="006F086E">
      <w:pPr>
        <w:spacing w:after="0"/>
        <w:ind w:firstLineChars="0" w:firstLine="0"/>
        <w:jc w:val="center"/>
        <w:rPr>
          <w:rFonts w:ascii="方正小标宋简体" w:eastAsia="方正小标宋简体"/>
          <w:sz w:val="44"/>
          <w:szCs w:val="44"/>
        </w:rPr>
      </w:pPr>
      <w:r w:rsidRPr="006F086E">
        <w:rPr>
          <w:rFonts w:ascii="方正小标宋简体" w:eastAsia="方正小标宋简体" w:hint="eastAsia"/>
          <w:sz w:val="44"/>
          <w:szCs w:val="44"/>
        </w:rPr>
        <w:t>产业高质量发展的</w:t>
      </w:r>
      <w:bookmarkEnd w:id="1"/>
      <w:r w:rsidRPr="006F086E">
        <w:rPr>
          <w:rFonts w:ascii="方正小标宋简体" w:eastAsia="方正小标宋简体" w:hint="eastAsia"/>
          <w:sz w:val="44"/>
          <w:szCs w:val="44"/>
        </w:rPr>
        <w:t>鼓励办法</w:t>
      </w:r>
    </w:p>
    <w:p w:rsidR="00461F7E" w:rsidRDefault="00461F7E">
      <w:pPr>
        <w:spacing w:after="0"/>
        <w:ind w:firstLine="626"/>
      </w:pPr>
    </w:p>
    <w:p w:rsidR="00461F7E" w:rsidRDefault="00EA21D7">
      <w:pPr>
        <w:spacing w:after="0"/>
        <w:ind w:firstLine="626"/>
      </w:pPr>
      <w:r>
        <w:rPr>
          <w:rFonts w:hint="eastAsia"/>
        </w:rPr>
        <w:t>为贯彻落实国家《“十四五”生物经济发展规划》总体要求，发展基因、干细胞、免疫细胞等产业领域，全力支撑天津市打造生物技术战略科技力量，依托细胞生态海河实验室，切实推进建设京津</w:t>
      </w:r>
      <w:proofErr w:type="gramStart"/>
      <w:r>
        <w:rPr>
          <w:rFonts w:hint="eastAsia"/>
        </w:rPr>
        <w:t>冀特色</w:t>
      </w:r>
      <w:proofErr w:type="gramEnd"/>
      <w:r>
        <w:rPr>
          <w:rFonts w:hint="eastAsia"/>
        </w:rPr>
        <w:t>“细胞谷”试验区，将天津滨海高新区建设成为国际一流、国内领先的细胞和基因产业基础研究策源地、科技创新集聚地、成果转化新高地和产业生态新阵地。结合本区实际，特制定本办法。</w:t>
      </w:r>
    </w:p>
    <w:p w:rsidR="00461F7E" w:rsidRDefault="00EA21D7">
      <w:pPr>
        <w:pStyle w:val="1"/>
        <w:spacing w:after="0" w:line="600" w:lineRule="exact"/>
        <w:ind w:firstLine="626"/>
      </w:pPr>
      <w:r>
        <w:rPr>
          <w:rFonts w:hint="eastAsia"/>
        </w:rPr>
        <w:t>第一条 支持对象</w:t>
      </w:r>
    </w:p>
    <w:p w:rsidR="00461F7E" w:rsidRDefault="00EA21D7">
      <w:pPr>
        <w:spacing w:after="0"/>
        <w:ind w:firstLine="626"/>
      </w:pPr>
      <w:r>
        <w:rPr>
          <w:rFonts w:hint="eastAsia"/>
        </w:rPr>
        <w:t>本办法支持对象为工商、税务及统计关系隶属于滨海高新区</w:t>
      </w:r>
      <w:bookmarkStart w:id="2" w:name="_Hlk110341414"/>
      <w:r>
        <w:rPr>
          <w:rFonts w:hint="eastAsia"/>
        </w:rPr>
        <w:t>（第四条支持对象可涉及天津自贸试验区范围内医疗机构）</w:t>
      </w:r>
      <w:bookmarkEnd w:id="2"/>
      <w:r>
        <w:rPr>
          <w:rFonts w:hint="eastAsia"/>
        </w:rPr>
        <w:t>，有健全的财务管理制度和会计核算制度，无不良信用记录，遵守安全生产、环境保护等方面的法律法规，无安全生产和环境污染责任事故，且从事细胞和基因治疗等领域的自主研发、生产、销售及服务的独立法人企业、事业单位、社会团体及民办非企业，以及经认定的战略合作临床试验医院、创新平台、科研机构等（以下统称为“企业”）。</w:t>
      </w:r>
    </w:p>
    <w:p w:rsidR="00461F7E" w:rsidRDefault="00EA21D7">
      <w:pPr>
        <w:pStyle w:val="1"/>
        <w:spacing w:after="0" w:line="600" w:lineRule="exact"/>
        <w:ind w:firstLine="626"/>
      </w:pPr>
      <w:r>
        <w:rPr>
          <w:rFonts w:hint="eastAsia"/>
        </w:rPr>
        <w:lastRenderedPageBreak/>
        <w:t>第二条 支持创新成果转化</w:t>
      </w:r>
    </w:p>
    <w:p w:rsidR="00461F7E" w:rsidRDefault="00EA21D7">
      <w:pPr>
        <w:spacing w:after="0"/>
        <w:ind w:firstLine="628"/>
      </w:pPr>
      <w:bookmarkStart w:id="3" w:name="_Hlk109556279"/>
      <w:r>
        <w:rPr>
          <w:rFonts w:ascii="楷体_GB2312" w:eastAsia="楷体_GB2312" w:hint="eastAsia"/>
          <w:b/>
          <w:bCs/>
        </w:rPr>
        <w:t>支持创新创业。</w:t>
      </w:r>
      <w:r>
        <w:rPr>
          <w:rFonts w:hint="eastAsia"/>
        </w:rPr>
        <w:t>支持国家和天津市重点实验室创新成果转化，支持拥有自主知识产权的项目团队在</w:t>
      </w:r>
      <w:r>
        <w:t>区内注册成立新公司</w:t>
      </w:r>
      <w:r>
        <w:rPr>
          <w:rFonts w:hint="eastAsia"/>
        </w:rPr>
        <w:t>，</w:t>
      </w:r>
      <w:r>
        <w:t>给予</w:t>
      </w:r>
      <w:r>
        <w:rPr>
          <w:rFonts w:hint="eastAsia"/>
        </w:rPr>
        <w:t>最高</w:t>
      </w:r>
      <w:r>
        <w:t>50</w:t>
      </w:r>
      <w:r>
        <w:t>万元</w:t>
      </w:r>
      <w:r>
        <w:rPr>
          <w:rFonts w:hint="eastAsia"/>
        </w:rPr>
        <w:t>一次性</w:t>
      </w:r>
      <w:r>
        <w:t>资金</w:t>
      </w:r>
      <w:r>
        <w:rPr>
          <w:rFonts w:hint="eastAsia"/>
        </w:rPr>
        <w:t>支持</w:t>
      </w:r>
      <w:r>
        <w:t>。</w:t>
      </w:r>
    </w:p>
    <w:p w:rsidR="00461F7E" w:rsidRDefault="00EA21D7">
      <w:pPr>
        <w:spacing w:after="0"/>
        <w:ind w:firstLine="628"/>
        <w:rPr>
          <w:color w:val="FF0000"/>
        </w:rPr>
      </w:pPr>
      <w:r>
        <w:rPr>
          <w:rFonts w:ascii="楷体_GB2312" w:eastAsia="楷体_GB2312" w:hint="eastAsia"/>
          <w:b/>
          <w:bCs/>
        </w:rPr>
        <w:t>给予房租支持。</w:t>
      </w:r>
      <w:bookmarkStart w:id="4" w:name="_Hlk111648231"/>
      <w:r>
        <w:rPr>
          <w:rFonts w:hint="eastAsia"/>
        </w:rPr>
        <w:t>对于在区内租赁自用科研办公场地的细胞和基因治疗企业，按照每家企业不超过</w:t>
      </w:r>
      <w:r>
        <w:rPr>
          <w:rFonts w:hint="eastAsia"/>
        </w:rPr>
        <w:t>200</w:t>
      </w:r>
      <w:r>
        <w:rPr>
          <w:rFonts w:hint="eastAsia"/>
        </w:rPr>
        <w:t>平方米、最高</w:t>
      </w:r>
      <w:r>
        <w:t>2</w:t>
      </w:r>
      <w:r>
        <w:rPr>
          <w:rFonts w:hint="eastAsia"/>
        </w:rPr>
        <w:t>元</w:t>
      </w:r>
      <w:r>
        <w:rPr>
          <w:rFonts w:hint="eastAsia"/>
        </w:rPr>
        <w:t>/</w:t>
      </w:r>
      <w:proofErr w:type="gramStart"/>
      <w:r>
        <w:rPr>
          <w:rFonts w:hint="eastAsia"/>
        </w:rPr>
        <w:t>平米</w:t>
      </w:r>
      <w:r>
        <w:rPr>
          <w:rFonts w:hint="eastAsia"/>
        </w:rPr>
        <w:t>/</w:t>
      </w:r>
      <w:proofErr w:type="gramEnd"/>
      <w:r>
        <w:rPr>
          <w:rFonts w:hint="eastAsia"/>
        </w:rPr>
        <w:t>天的标准，给予企业每年最高</w:t>
      </w:r>
      <w:r>
        <w:rPr>
          <w:rFonts w:hint="eastAsia"/>
        </w:rPr>
        <w:t>1</w:t>
      </w:r>
      <w:r>
        <w:t>5</w:t>
      </w:r>
      <w:r>
        <w:rPr>
          <w:rFonts w:hint="eastAsia"/>
        </w:rPr>
        <w:t>万元的房租支持</w:t>
      </w:r>
      <w:bookmarkEnd w:id="4"/>
      <w:r>
        <w:rPr>
          <w:rFonts w:hint="eastAsia"/>
        </w:rPr>
        <w:t>。</w:t>
      </w:r>
    </w:p>
    <w:p w:rsidR="00461F7E" w:rsidRDefault="00EA21D7">
      <w:pPr>
        <w:spacing w:after="0"/>
        <w:ind w:firstLine="628"/>
      </w:pPr>
      <w:r>
        <w:rPr>
          <w:rFonts w:ascii="楷体_GB2312" w:eastAsia="楷体_GB2312" w:hint="eastAsia"/>
          <w:b/>
          <w:bCs/>
        </w:rPr>
        <w:t>支持项目融资。</w:t>
      </w:r>
      <w:r>
        <w:rPr>
          <w:rFonts w:hint="eastAsia"/>
        </w:rPr>
        <w:t>对于其中成功引入股权融资的企业，给予股权融资额</w:t>
      </w:r>
      <w:r>
        <w:rPr>
          <w:rFonts w:hint="eastAsia"/>
        </w:rPr>
        <w:t>2%</w:t>
      </w:r>
      <w:r>
        <w:rPr>
          <w:rFonts w:hint="eastAsia"/>
        </w:rPr>
        <w:t>的奖励，</w:t>
      </w:r>
      <w:bookmarkStart w:id="5" w:name="_Hlk110877215"/>
      <w:r>
        <w:rPr>
          <w:rFonts w:hint="eastAsia"/>
        </w:rPr>
        <w:t>单个企业每年不超过</w:t>
      </w:r>
      <w:r>
        <w:t>30</w:t>
      </w:r>
      <w:r>
        <w:rPr>
          <w:rFonts w:hint="eastAsia"/>
        </w:rPr>
        <w:t>万元</w:t>
      </w:r>
      <w:bookmarkEnd w:id="5"/>
      <w:r>
        <w:rPr>
          <w:rFonts w:hint="eastAsia"/>
        </w:rPr>
        <w:t>。</w:t>
      </w:r>
    </w:p>
    <w:p w:rsidR="00461F7E" w:rsidRDefault="00EA21D7">
      <w:pPr>
        <w:spacing w:after="0"/>
        <w:ind w:firstLine="626"/>
      </w:pPr>
      <w:r>
        <w:rPr>
          <w:rFonts w:hint="eastAsia"/>
        </w:rPr>
        <w:t>对国家和天津市重点实验室及其合作单位推荐的创新创业项目，经评审符合条件的，参照上述标准执行。</w:t>
      </w:r>
    </w:p>
    <w:bookmarkEnd w:id="3"/>
    <w:p w:rsidR="00461F7E" w:rsidRDefault="00EA21D7">
      <w:pPr>
        <w:pStyle w:val="1"/>
        <w:spacing w:after="0" w:line="600" w:lineRule="exact"/>
        <w:ind w:firstLine="626"/>
      </w:pPr>
      <w:r>
        <w:rPr>
          <w:rFonts w:hint="eastAsia"/>
        </w:rPr>
        <w:t>第三条 支持新药研发和产业化</w:t>
      </w:r>
    </w:p>
    <w:p w:rsidR="00461F7E" w:rsidRDefault="00EA21D7">
      <w:pPr>
        <w:spacing w:after="0"/>
        <w:ind w:firstLine="628"/>
      </w:pPr>
      <w:bookmarkStart w:id="6" w:name="_Hlk109556358"/>
      <w:r>
        <w:rPr>
          <w:rFonts w:ascii="楷体_GB2312" w:eastAsia="楷体_GB2312" w:hint="eastAsia"/>
          <w:b/>
          <w:bCs/>
        </w:rPr>
        <w:t>支持新药研发及生产。</w:t>
      </w:r>
      <w:r>
        <w:t>对于具有自主知识产权、核心关键技术和良好市场前景</w:t>
      </w:r>
      <w:r>
        <w:rPr>
          <w:rFonts w:hint="eastAsia"/>
        </w:rPr>
        <w:t>并承诺在区内实施产业化的</w:t>
      </w:r>
      <w:r>
        <w:t>细胞和基因治疗创新药物，</w:t>
      </w:r>
      <w:bookmarkStart w:id="7" w:name="_Hlk109745548"/>
      <w:r>
        <w:t>进入</w:t>
      </w:r>
      <w:r>
        <w:t>I</w:t>
      </w:r>
      <w:r>
        <w:t>、</w:t>
      </w:r>
      <w:r>
        <w:t>II</w:t>
      </w:r>
      <w:r>
        <w:t>、</w:t>
      </w:r>
      <w:r>
        <w:t>III</w:t>
      </w:r>
      <w:r>
        <w:t>期临床试验阶段的，</w:t>
      </w:r>
      <w:bookmarkEnd w:id="7"/>
      <w:r>
        <w:t>按照</w:t>
      </w:r>
      <w:r>
        <w:rPr>
          <w:rFonts w:hint="eastAsia"/>
        </w:rPr>
        <w:t>研发进度分阶段给予单品种</w:t>
      </w:r>
      <w:r>
        <w:t>最高</w:t>
      </w:r>
      <w:r>
        <w:t>500</w:t>
      </w:r>
      <w:r>
        <w:t>万元、</w:t>
      </w:r>
      <w:r>
        <w:t>600</w:t>
      </w:r>
      <w:r>
        <w:t>万元、</w:t>
      </w:r>
      <w:r>
        <w:t>1500</w:t>
      </w:r>
      <w:r>
        <w:t>万元的</w:t>
      </w:r>
      <w:r>
        <w:rPr>
          <w:rFonts w:hint="eastAsia"/>
        </w:rPr>
        <w:t>资金</w:t>
      </w:r>
      <w:r>
        <w:t>支持。对获得药品批准文号并在高新区内注册生产结算的，给予</w:t>
      </w:r>
      <w:r>
        <w:rPr>
          <w:rFonts w:hint="eastAsia"/>
        </w:rPr>
        <w:t>最高</w:t>
      </w:r>
      <w:r>
        <w:t>2500</w:t>
      </w:r>
      <w:r>
        <w:t>万元的资金支持。</w:t>
      </w:r>
    </w:p>
    <w:p w:rsidR="00461F7E" w:rsidRDefault="00EA21D7">
      <w:pPr>
        <w:spacing w:after="0"/>
        <w:ind w:firstLine="628"/>
      </w:pPr>
      <w:bookmarkStart w:id="8" w:name="_Hlk109556371"/>
      <w:bookmarkEnd w:id="6"/>
      <w:r>
        <w:rPr>
          <w:rFonts w:ascii="楷体_GB2312" w:eastAsia="楷体_GB2312" w:hint="eastAsia"/>
          <w:b/>
          <w:bCs/>
        </w:rPr>
        <w:t>支持优势产品培育。</w:t>
      </w:r>
      <w:r>
        <w:t>对年销售收入首次突破</w:t>
      </w:r>
      <w:r>
        <w:t>1</w:t>
      </w:r>
      <w:r>
        <w:t>亿元、</w:t>
      </w:r>
      <w:r>
        <w:t>3</w:t>
      </w:r>
      <w:r>
        <w:t>亿元、</w:t>
      </w:r>
      <w:r>
        <w:t>5</w:t>
      </w:r>
      <w:r>
        <w:t>亿元、</w:t>
      </w:r>
      <w:r>
        <w:t>10</w:t>
      </w:r>
      <w:r>
        <w:t>亿元、</w:t>
      </w:r>
      <w:r>
        <w:t>20</w:t>
      </w:r>
      <w:r>
        <w:t>亿元的细胞和基因治疗药物，分别给予最高</w:t>
      </w:r>
      <w:r>
        <w:t>150</w:t>
      </w:r>
      <w:r>
        <w:t>万元、</w:t>
      </w:r>
      <w:r>
        <w:t>200</w:t>
      </w:r>
      <w:r>
        <w:t>万元、</w:t>
      </w:r>
      <w:r>
        <w:t>300</w:t>
      </w:r>
      <w:r>
        <w:t>万元、</w:t>
      </w:r>
      <w:r>
        <w:t>400</w:t>
      </w:r>
      <w:r>
        <w:t>万元、</w:t>
      </w:r>
      <w:r>
        <w:t>600</w:t>
      </w:r>
      <w:r>
        <w:t>万元的资</w:t>
      </w:r>
      <w:r>
        <w:lastRenderedPageBreak/>
        <w:t>金</w:t>
      </w:r>
      <w:r>
        <w:rPr>
          <w:rFonts w:hint="eastAsia"/>
        </w:rPr>
        <w:t>支持</w:t>
      </w:r>
      <w:r>
        <w:t>。</w:t>
      </w:r>
    </w:p>
    <w:p w:rsidR="00461F7E" w:rsidRDefault="00EA21D7">
      <w:pPr>
        <w:spacing w:after="0"/>
        <w:ind w:firstLine="628"/>
      </w:pPr>
      <w:bookmarkStart w:id="9" w:name="_Hlk109556394"/>
      <w:bookmarkEnd w:id="8"/>
      <w:r>
        <w:rPr>
          <w:rFonts w:ascii="楷体_GB2312" w:eastAsia="楷体_GB2312" w:hint="eastAsia"/>
          <w:b/>
          <w:bCs/>
        </w:rPr>
        <w:t>支持资格认定。</w:t>
      </w:r>
      <w:r>
        <w:t>对于获得国家药品监督管理局</w:t>
      </w:r>
      <w:r>
        <w:t>“</w:t>
      </w:r>
      <w:r>
        <w:t>突破性治疗药物</w:t>
      </w:r>
      <w:r>
        <w:t>”</w:t>
      </w:r>
      <w:r>
        <w:t>资格认定、</w:t>
      </w:r>
      <w:r>
        <w:rPr>
          <w:rFonts w:hint="eastAsia"/>
        </w:rPr>
        <w:t>美国食品药品监督局（</w:t>
      </w:r>
      <w:r>
        <w:rPr>
          <w:rFonts w:hint="eastAsia"/>
        </w:rPr>
        <w:t>FDA</w:t>
      </w:r>
      <w:r>
        <w:rPr>
          <w:rFonts w:hint="eastAsia"/>
        </w:rPr>
        <w:t>）</w:t>
      </w:r>
      <w:r>
        <w:t>“</w:t>
      </w:r>
      <w:r>
        <w:t>孤儿药</w:t>
      </w:r>
      <w:r>
        <w:t>”</w:t>
      </w:r>
      <w:r>
        <w:t>资格认定、</w:t>
      </w:r>
      <w:r>
        <w:rPr>
          <w:rFonts w:hint="eastAsia"/>
        </w:rPr>
        <w:t>欧洲药品管理局（</w:t>
      </w:r>
      <w:r>
        <w:rPr>
          <w:rFonts w:hint="eastAsia"/>
        </w:rPr>
        <w:t>EMA</w:t>
      </w:r>
      <w:r>
        <w:rPr>
          <w:rFonts w:hint="eastAsia"/>
        </w:rPr>
        <w:t>）</w:t>
      </w:r>
      <w:r>
        <w:t>“</w:t>
      </w:r>
      <w:r>
        <w:t>孤儿药</w:t>
      </w:r>
      <w:r>
        <w:t>”</w:t>
      </w:r>
      <w:r>
        <w:t>资格认定的，给予</w:t>
      </w:r>
      <w:r>
        <w:t>100</w:t>
      </w:r>
      <w:r>
        <w:t>万元</w:t>
      </w:r>
      <w:r>
        <w:rPr>
          <w:rFonts w:hint="eastAsia"/>
        </w:rPr>
        <w:t>资金支持</w:t>
      </w:r>
      <w:bookmarkEnd w:id="9"/>
      <w:r>
        <w:t>。</w:t>
      </w:r>
    </w:p>
    <w:p w:rsidR="00461F7E" w:rsidRDefault="00EA21D7">
      <w:pPr>
        <w:spacing w:after="0"/>
        <w:ind w:firstLine="626"/>
      </w:pPr>
      <w:r>
        <w:t>对于通过技术引进、技术许可等方式取得国外新药品种在国内独占许可权的细胞和基因治疗药物参照上述标准执行。</w:t>
      </w:r>
    </w:p>
    <w:p w:rsidR="00461F7E" w:rsidRDefault="00EA21D7">
      <w:pPr>
        <w:pStyle w:val="1"/>
        <w:spacing w:after="0" w:line="600" w:lineRule="exact"/>
        <w:ind w:firstLine="626"/>
      </w:pPr>
      <w:bookmarkStart w:id="10" w:name="_Hlk109371302"/>
      <w:r>
        <w:rPr>
          <w:rFonts w:hint="eastAsia"/>
        </w:rPr>
        <w:t>第四条</w:t>
      </w:r>
      <w:r>
        <w:t xml:space="preserve"> </w:t>
      </w:r>
      <w:r>
        <w:rPr>
          <w:rFonts w:hint="eastAsia"/>
        </w:rPr>
        <w:t>支持医疗机构研究转化</w:t>
      </w:r>
    </w:p>
    <w:p w:rsidR="00461F7E" w:rsidRDefault="00EA21D7">
      <w:pPr>
        <w:spacing w:after="0"/>
        <w:ind w:firstLine="628"/>
      </w:pPr>
      <w:bookmarkStart w:id="11" w:name="_Hlk109556490"/>
      <w:r>
        <w:rPr>
          <w:rFonts w:ascii="楷体_GB2312" w:eastAsia="楷体_GB2312" w:hint="eastAsia"/>
          <w:b/>
          <w:bCs/>
        </w:rPr>
        <w:t>支持研究者发起的临床研究。</w:t>
      </w:r>
      <w:bookmarkStart w:id="12" w:name="_Hlk110341954"/>
      <w:r>
        <w:rPr>
          <w:rFonts w:hint="eastAsia"/>
        </w:rPr>
        <w:t>支持建设</w:t>
      </w:r>
      <w:bookmarkStart w:id="13" w:name="_Hlk109556636"/>
      <w:r>
        <w:rPr>
          <w:rFonts w:hint="eastAsia"/>
        </w:rPr>
        <w:t>细胞和基因治疗药物临床试验机构联盟</w:t>
      </w:r>
      <w:bookmarkEnd w:id="13"/>
      <w:r>
        <w:rPr>
          <w:rFonts w:hint="eastAsia"/>
        </w:rPr>
        <w:t>。</w:t>
      </w:r>
      <w:r>
        <w:t>鼓励</w:t>
      </w:r>
      <w:r>
        <w:rPr>
          <w:rFonts w:hint="eastAsia"/>
        </w:rPr>
        <w:t>联盟内的</w:t>
      </w:r>
      <w:r>
        <w:t>医疗</w:t>
      </w:r>
      <w:r>
        <w:rPr>
          <w:rFonts w:hint="eastAsia"/>
        </w:rPr>
        <w:t>机构</w:t>
      </w:r>
      <w:bookmarkStart w:id="14" w:name="_Hlk111126100"/>
      <w:r>
        <w:rPr>
          <w:rFonts w:hint="eastAsia"/>
        </w:rPr>
        <w:t>开展以新药临床试验申请（</w:t>
      </w:r>
      <w:r>
        <w:rPr>
          <w:rFonts w:hint="eastAsia"/>
        </w:rPr>
        <w:t>IND</w:t>
      </w:r>
      <w:r>
        <w:rPr>
          <w:rFonts w:hint="eastAsia"/>
        </w:rPr>
        <w:t>）为目的的</w:t>
      </w:r>
      <w:r>
        <w:t>研究者发起的临床研究（</w:t>
      </w:r>
      <w:r>
        <w:t>IIT</w:t>
      </w:r>
      <w:r>
        <w:t>）</w:t>
      </w:r>
      <w:bookmarkEnd w:id="14"/>
      <w:r>
        <w:t>，单个项目给予</w:t>
      </w:r>
      <w:r>
        <w:rPr>
          <w:rFonts w:hint="eastAsia"/>
        </w:rPr>
        <w:t>医疗机构</w:t>
      </w:r>
      <w:r>
        <w:t>20</w:t>
      </w:r>
      <w:r>
        <w:rPr>
          <w:rFonts w:hint="eastAsia"/>
        </w:rPr>
        <w:t>万元一次性</w:t>
      </w:r>
      <w:r>
        <w:t>资金支持。</w:t>
      </w:r>
      <w:r>
        <w:rPr>
          <w:rFonts w:hint="eastAsia"/>
        </w:rPr>
        <w:t>单个医疗机构年累计支持金额最高不超过</w:t>
      </w:r>
      <w:r>
        <w:rPr>
          <w:rFonts w:hint="eastAsia"/>
        </w:rPr>
        <w:t>1</w:t>
      </w:r>
      <w:r>
        <w:t>00</w:t>
      </w:r>
      <w:r>
        <w:rPr>
          <w:rFonts w:hint="eastAsia"/>
        </w:rPr>
        <w:t>万元</w:t>
      </w:r>
      <w:bookmarkEnd w:id="12"/>
      <w:r>
        <w:rPr>
          <w:rFonts w:hint="eastAsia"/>
        </w:rPr>
        <w:t>。</w:t>
      </w:r>
    </w:p>
    <w:p w:rsidR="00461F7E" w:rsidRDefault="00EA21D7">
      <w:pPr>
        <w:spacing w:after="0"/>
        <w:ind w:firstLine="628"/>
      </w:pPr>
      <w:bookmarkStart w:id="15" w:name="_Hlk109578633"/>
      <w:bookmarkStart w:id="16" w:name="_Hlk109556506"/>
      <w:bookmarkEnd w:id="11"/>
      <w:r>
        <w:rPr>
          <w:rFonts w:ascii="楷体_GB2312" w:eastAsia="楷体_GB2312" w:hint="eastAsia"/>
          <w:b/>
          <w:bCs/>
        </w:rPr>
        <w:t>支持推广真实世界数据。</w:t>
      </w:r>
      <w:r>
        <w:rPr>
          <w:rFonts w:hint="eastAsia"/>
        </w:rPr>
        <w:t>鼓励医疗机构开展真实世界临床数据研究试点，对于使用真实世界</w:t>
      </w:r>
      <w:proofErr w:type="gramStart"/>
      <w:r>
        <w:rPr>
          <w:rFonts w:hint="eastAsia"/>
        </w:rPr>
        <w:t>数据获</w:t>
      </w:r>
      <w:proofErr w:type="gramEnd"/>
      <w:r>
        <w:rPr>
          <w:rFonts w:hint="eastAsia"/>
        </w:rPr>
        <w:t>批上市并在区内产业化的细胞和基因治疗药品，单品种给予</w:t>
      </w:r>
      <w:r>
        <w:rPr>
          <w:rFonts w:hint="eastAsia"/>
        </w:rPr>
        <w:t>5</w:t>
      </w:r>
      <w:r>
        <w:t>0</w:t>
      </w:r>
      <w:r>
        <w:rPr>
          <w:rFonts w:hint="eastAsia"/>
        </w:rPr>
        <w:t>万元一次性资金支持。</w:t>
      </w:r>
    </w:p>
    <w:bookmarkEnd w:id="10"/>
    <w:bookmarkEnd w:id="15"/>
    <w:bookmarkEnd w:id="16"/>
    <w:p w:rsidR="00461F7E" w:rsidRDefault="00EA21D7">
      <w:pPr>
        <w:pStyle w:val="1"/>
        <w:spacing w:after="0" w:line="600" w:lineRule="exact"/>
        <w:ind w:firstLine="626"/>
      </w:pPr>
      <w:r>
        <w:rPr>
          <w:rFonts w:hint="eastAsia"/>
        </w:rPr>
        <w:t>第五条 支持公共服务平台搭建</w:t>
      </w:r>
    </w:p>
    <w:p w:rsidR="00461F7E" w:rsidRDefault="00EA21D7">
      <w:pPr>
        <w:spacing w:after="0"/>
        <w:ind w:firstLine="628"/>
      </w:pPr>
      <w:bookmarkStart w:id="17" w:name="_Hlk109556537"/>
      <w:r>
        <w:rPr>
          <w:rFonts w:ascii="楷体_GB2312" w:eastAsia="楷体_GB2312" w:hint="eastAsia"/>
          <w:b/>
          <w:bCs/>
        </w:rPr>
        <w:t>支持公共服务平台发展。</w:t>
      </w:r>
      <w:r>
        <w:t>支持专业机构在高新区内搭建细胞和基因治疗领域公共技术服务平台，提供</w:t>
      </w:r>
      <w:bookmarkStart w:id="18" w:name="_Hlk109290470"/>
      <w:r>
        <w:rPr>
          <w:rFonts w:hint="eastAsia"/>
        </w:rPr>
        <w:t>注册申报、科学研究、检验检测等服务外包相关服务，</w:t>
      </w:r>
      <w:bookmarkEnd w:id="18"/>
      <w:r>
        <w:rPr>
          <w:rFonts w:hint="eastAsia"/>
        </w:rPr>
        <w:t>按照年合同总额的</w:t>
      </w:r>
      <w:r>
        <w:rPr>
          <w:rFonts w:hint="eastAsia"/>
        </w:rPr>
        <w:t>5%</w:t>
      </w:r>
      <w:r>
        <w:rPr>
          <w:rFonts w:hint="eastAsia"/>
        </w:rPr>
        <w:lastRenderedPageBreak/>
        <w:t>给予每年最高</w:t>
      </w:r>
      <w:r>
        <w:rPr>
          <w:rFonts w:hint="eastAsia"/>
        </w:rPr>
        <w:t>2</w:t>
      </w:r>
      <w:r>
        <w:t>00</w:t>
      </w:r>
      <w:r>
        <w:rPr>
          <w:rFonts w:hint="eastAsia"/>
        </w:rPr>
        <w:t>万元资金支持</w:t>
      </w:r>
      <w:bookmarkEnd w:id="17"/>
      <w:r>
        <w:rPr>
          <w:rFonts w:hint="eastAsia"/>
        </w:rPr>
        <w:t>。</w:t>
      </w:r>
    </w:p>
    <w:p w:rsidR="00461F7E" w:rsidRDefault="00EA21D7">
      <w:pPr>
        <w:spacing w:after="0"/>
        <w:ind w:firstLine="628"/>
      </w:pPr>
      <w:bookmarkStart w:id="19" w:name="_Hlk109556550"/>
      <w:r>
        <w:rPr>
          <w:rFonts w:ascii="楷体_GB2312" w:eastAsia="楷体_GB2312" w:cs="Times New Roman" w:hint="eastAsia"/>
          <w:b/>
          <w:bCs/>
        </w:rPr>
        <w:t>支持细胞产品质检质控平台建设。</w:t>
      </w:r>
      <w:bookmarkStart w:id="20" w:name="_Hlk110594336"/>
      <w:r>
        <w:t>支持</w:t>
      </w:r>
      <w:r>
        <w:rPr>
          <w:rFonts w:hint="eastAsia"/>
        </w:rPr>
        <w:t>国家、天津市重大创新平台建设单位新建</w:t>
      </w:r>
      <w:r>
        <w:t>第三方</w:t>
      </w:r>
      <w:r>
        <w:rPr>
          <w:rFonts w:hint="eastAsia"/>
        </w:rPr>
        <w:t>细胞产品质检质</w:t>
      </w:r>
      <w:proofErr w:type="gramStart"/>
      <w:r>
        <w:rPr>
          <w:rFonts w:hint="eastAsia"/>
        </w:rPr>
        <w:t>控服务</w:t>
      </w:r>
      <w:proofErr w:type="gramEnd"/>
      <w:r>
        <w:rPr>
          <w:rFonts w:hint="eastAsia"/>
        </w:rPr>
        <w:t>平台，按照不超过项目总投资额</w:t>
      </w:r>
      <w:r>
        <w:rPr>
          <w:rFonts w:hint="eastAsia"/>
        </w:rPr>
        <w:t>20%</w:t>
      </w:r>
      <w:r>
        <w:rPr>
          <w:rFonts w:hint="eastAsia"/>
        </w:rPr>
        <w:t>，给予最高</w:t>
      </w:r>
      <w:r>
        <w:rPr>
          <w:rFonts w:hint="eastAsia"/>
        </w:rPr>
        <w:t>1000</w:t>
      </w:r>
      <w:r>
        <w:rPr>
          <w:rFonts w:hint="eastAsia"/>
        </w:rPr>
        <w:t>万元资金支持</w:t>
      </w:r>
      <w:bookmarkEnd w:id="19"/>
      <w:r>
        <w:rPr>
          <w:rFonts w:hint="eastAsia"/>
        </w:rPr>
        <w:t>。</w:t>
      </w:r>
    </w:p>
    <w:bookmarkEnd w:id="20"/>
    <w:p w:rsidR="00461F7E" w:rsidRDefault="00EA21D7">
      <w:pPr>
        <w:pStyle w:val="1"/>
        <w:spacing w:after="0" w:line="600" w:lineRule="exact"/>
        <w:ind w:firstLine="626"/>
      </w:pPr>
      <w:r>
        <w:rPr>
          <w:rFonts w:hint="eastAsia"/>
        </w:rPr>
        <w:t>第六条 支持产业链配套</w:t>
      </w:r>
    </w:p>
    <w:p w:rsidR="00461F7E" w:rsidRDefault="00EA21D7">
      <w:pPr>
        <w:spacing w:after="0"/>
        <w:ind w:firstLine="626"/>
      </w:pPr>
      <w:bookmarkStart w:id="21" w:name="_Hlk109978951"/>
      <w:r>
        <w:rPr>
          <w:rFonts w:hint="eastAsia"/>
        </w:rPr>
        <w:t>对区内新引进细胞和基因产业相关的试剂、生物材料、仪器设备等配套企业，</w:t>
      </w:r>
      <w:bookmarkEnd w:id="21"/>
      <w:r>
        <w:rPr>
          <w:rFonts w:hint="eastAsia"/>
        </w:rPr>
        <w:t>按照不超过固定资产投资的</w:t>
      </w:r>
      <w:r>
        <w:t>8</w:t>
      </w:r>
      <w:r>
        <w:rPr>
          <w:rFonts w:hint="eastAsia"/>
        </w:rPr>
        <w:t>%</w:t>
      </w:r>
      <w:r>
        <w:rPr>
          <w:rFonts w:hint="eastAsia"/>
        </w:rPr>
        <w:t>给予最高</w:t>
      </w:r>
      <w:r>
        <w:t>2000</w:t>
      </w:r>
      <w:r>
        <w:rPr>
          <w:rFonts w:hint="eastAsia"/>
        </w:rPr>
        <w:t>万元资金支持。对实现销售收入的新引进配套企业，按照上年主营业务收入的</w:t>
      </w:r>
      <w:r>
        <w:t>1</w:t>
      </w:r>
      <w:r>
        <w:rPr>
          <w:rFonts w:hint="eastAsia"/>
        </w:rPr>
        <w:t>%</w:t>
      </w:r>
      <w:r>
        <w:rPr>
          <w:rFonts w:hint="eastAsia"/>
        </w:rPr>
        <w:t>给予最高</w:t>
      </w:r>
      <w:r>
        <w:t>100</w:t>
      </w:r>
      <w:r>
        <w:rPr>
          <w:rFonts w:hint="eastAsia"/>
        </w:rPr>
        <w:t>万元资金支持。</w:t>
      </w:r>
    </w:p>
    <w:p w:rsidR="00461F7E" w:rsidRDefault="00EA21D7">
      <w:pPr>
        <w:pStyle w:val="1"/>
        <w:spacing w:after="0" w:line="600" w:lineRule="exact"/>
        <w:ind w:firstLine="626"/>
      </w:pPr>
      <w:r>
        <w:rPr>
          <w:rFonts w:hint="eastAsia"/>
        </w:rPr>
        <w:t>第七条 支持专业人才引育</w:t>
      </w:r>
    </w:p>
    <w:p w:rsidR="00461F7E" w:rsidRDefault="00EA21D7">
      <w:pPr>
        <w:spacing w:after="0"/>
        <w:ind w:firstLine="626"/>
      </w:pPr>
      <w:r>
        <w:rPr>
          <w:rFonts w:hint="eastAsia"/>
        </w:rPr>
        <w:t>鼓励企业加快人才引聚，发挥人才智力支撑作用。对新引进企业的新招聘员工，</w:t>
      </w:r>
      <w:bookmarkStart w:id="22" w:name="_Hlk109979095"/>
      <w:r>
        <w:rPr>
          <w:rFonts w:hint="eastAsia"/>
        </w:rPr>
        <w:t>按年度发放租房和生活补贴</w:t>
      </w:r>
      <w:bookmarkEnd w:id="22"/>
      <w:r>
        <w:rPr>
          <w:rFonts w:hint="eastAsia"/>
        </w:rPr>
        <w:t>，每人每年</w:t>
      </w:r>
      <w:r>
        <w:rPr>
          <w:rFonts w:hint="eastAsia"/>
        </w:rPr>
        <w:t>1.2</w:t>
      </w:r>
      <w:r>
        <w:rPr>
          <w:rFonts w:hint="eastAsia"/>
        </w:rPr>
        <w:t>万元。积极推荐符合条件的人才申报市、区各类人才工程（计划），主动做好申报辅导服务；支持人才聚集程度高的重点创新主体自主评价、认定青年人才。</w:t>
      </w:r>
    </w:p>
    <w:p w:rsidR="00461F7E" w:rsidRDefault="00EA21D7">
      <w:pPr>
        <w:pStyle w:val="1"/>
        <w:spacing w:after="0" w:line="600" w:lineRule="exact"/>
        <w:ind w:firstLine="626"/>
      </w:pPr>
      <w:r>
        <w:rPr>
          <w:rFonts w:hint="eastAsia"/>
        </w:rPr>
        <w:t>第八条 支持产业生态营造</w:t>
      </w:r>
    </w:p>
    <w:p w:rsidR="00461F7E" w:rsidRDefault="00EA21D7">
      <w:pPr>
        <w:spacing w:after="0"/>
        <w:ind w:firstLine="628"/>
      </w:pPr>
      <w:r>
        <w:rPr>
          <w:rFonts w:ascii="楷体_GB2312" w:eastAsia="楷体_GB2312" w:hint="eastAsia"/>
          <w:b/>
          <w:bCs/>
        </w:rPr>
        <w:t>支持标准制定。</w:t>
      </w:r>
      <w:r>
        <w:t>支持企业围绕细胞和基因治疗全流程，在采集、存储、运输、生产、制备等环节主导或参与制定国际标准、国家标准、行业标准、地方标准，经专业评估认定后，对于牵头企业最高给予每项</w:t>
      </w:r>
      <w:r>
        <w:t>300</w:t>
      </w:r>
      <w:r>
        <w:t>万</w:t>
      </w:r>
      <w:r>
        <w:rPr>
          <w:rFonts w:hint="eastAsia"/>
        </w:rPr>
        <w:t>元</w:t>
      </w:r>
      <w:r>
        <w:t>、</w:t>
      </w:r>
      <w:r>
        <w:t>150</w:t>
      </w:r>
      <w:r>
        <w:t>万</w:t>
      </w:r>
      <w:r>
        <w:rPr>
          <w:rFonts w:hint="eastAsia"/>
        </w:rPr>
        <w:t>元</w:t>
      </w:r>
      <w:r>
        <w:t>、</w:t>
      </w:r>
      <w:r>
        <w:t>80</w:t>
      </w:r>
      <w:r>
        <w:t>万</w:t>
      </w:r>
      <w:r>
        <w:rPr>
          <w:rFonts w:hint="eastAsia"/>
        </w:rPr>
        <w:t>元</w:t>
      </w:r>
      <w:r>
        <w:t>、</w:t>
      </w:r>
      <w:r>
        <w:t>50</w:t>
      </w:r>
      <w:r>
        <w:t>万元</w:t>
      </w:r>
      <w:r>
        <w:rPr>
          <w:rFonts w:hint="eastAsia"/>
        </w:rPr>
        <w:t>资金</w:t>
      </w:r>
      <w:r>
        <w:t>支持。参与企业按照上述标准</w:t>
      </w:r>
      <w:r>
        <w:rPr>
          <w:rFonts w:hint="eastAsia"/>
        </w:rPr>
        <w:t>金额</w:t>
      </w:r>
      <w:r>
        <w:t>减半给予支持。</w:t>
      </w:r>
    </w:p>
    <w:p w:rsidR="00461F7E" w:rsidRDefault="00EA21D7">
      <w:pPr>
        <w:spacing w:after="0"/>
        <w:ind w:firstLine="628"/>
      </w:pPr>
      <w:r>
        <w:rPr>
          <w:rFonts w:ascii="楷体_GB2312" w:eastAsia="楷体_GB2312" w:hint="eastAsia"/>
          <w:b/>
          <w:bCs/>
        </w:rPr>
        <w:lastRenderedPageBreak/>
        <w:t>支持产业活动。</w:t>
      </w:r>
      <w:r>
        <w:t>支持本政策适用范围的企业、行业协会、联盟等，在</w:t>
      </w:r>
      <w:r>
        <w:rPr>
          <w:rFonts w:hint="eastAsia"/>
        </w:rPr>
        <w:t>区内</w:t>
      </w:r>
      <w:r>
        <w:t>组织权威性</w:t>
      </w:r>
      <w:r>
        <w:rPr>
          <w:rFonts w:hint="eastAsia"/>
        </w:rPr>
        <w:t>、公益性</w:t>
      </w:r>
      <w:r>
        <w:t>的细胞和基因治疗领域</w:t>
      </w:r>
      <w:r>
        <w:rPr>
          <w:rFonts w:hint="eastAsia"/>
        </w:rPr>
        <w:t>会议论坛、产业对接、学术竞赛</w:t>
      </w:r>
      <w:r>
        <w:t>等活动，按照活动实际举办费用的</w:t>
      </w:r>
      <w:r>
        <w:t>30%</w:t>
      </w:r>
      <w:r>
        <w:t>，给予举办</w:t>
      </w:r>
      <w:proofErr w:type="gramStart"/>
      <w:r>
        <w:t>方最高</w:t>
      </w:r>
      <w:proofErr w:type="gramEnd"/>
      <w:r>
        <w:t>30</w:t>
      </w:r>
      <w:r>
        <w:t>万元的一次性</w:t>
      </w:r>
      <w:r>
        <w:rPr>
          <w:rFonts w:hint="eastAsia"/>
        </w:rPr>
        <w:t>资金支持</w:t>
      </w:r>
      <w:r>
        <w:t>。</w:t>
      </w:r>
    </w:p>
    <w:p w:rsidR="00461F7E" w:rsidRDefault="00EA21D7">
      <w:pPr>
        <w:spacing w:after="0"/>
        <w:ind w:firstLine="628"/>
      </w:pPr>
      <w:bookmarkStart w:id="23" w:name="_Hlk109740437"/>
      <w:r>
        <w:rPr>
          <w:rFonts w:ascii="楷体_GB2312" w:eastAsia="楷体_GB2312" w:hint="eastAsia"/>
          <w:b/>
          <w:bCs/>
        </w:rPr>
        <w:t>支持获奖项目。</w:t>
      </w:r>
      <w:r>
        <w:rPr>
          <w:rFonts w:hint="eastAsia"/>
        </w:rPr>
        <w:t>对于权威性、公益性的细胞和基因领域创新创业类赛事，按照实际奖项设置，给予举办</w:t>
      </w:r>
      <w:proofErr w:type="gramStart"/>
      <w:r>
        <w:rPr>
          <w:rFonts w:hint="eastAsia"/>
        </w:rPr>
        <w:t>方最高</w:t>
      </w:r>
      <w:proofErr w:type="gramEnd"/>
      <w:r>
        <w:rPr>
          <w:rFonts w:hint="eastAsia"/>
        </w:rPr>
        <w:t>5</w:t>
      </w:r>
      <w:r>
        <w:t>0</w:t>
      </w:r>
      <w:r>
        <w:rPr>
          <w:rFonts w:hint="eastAsia"/>
        </w:rPr>
        <w:t>万元的一次性资金支持。支持赛事活动中的获奖项目在区内实施产业化，</w:t>
      </w:r>
      <w:r>
        <w:t>支持方式参照</w:t>
      </w:r>
      <w:r>
        <w:t>“</w:t>
      </w:r>
      <w:r>
        <w:t>创新成果转化支持</w:t>
      </w:r>
      <w:r>
        <w:t>”</w:t>
      </w:r>
      <w:r>
        <w:rPr>
          <w:rFonts w:hint="eastAsia"/>
        </w:rPr>
        <w:t>标准执行。</w:t>
      </w:r>
    </w:p>
    <w:bookmarkEnd w:id="23"/>
    <w:p w:rsidR="00461F7E" w:rsidRDefault="00EA21D7">
      <w:pPr>
        <w:pStyle w:val="1"/>
        <w:spacing w:after="0" w:line="600" w:lineRule="exact"/>
        <w:ind w:firstLine="626"/>
      </w:pPr>
      <w:r>
        <w:rPr>
          <w:rFonts w:hint="eastAsia"/>
        </w:rPr>
        <w:t>第九条 附则</w:t>
      </w:r>
    </w:p>
    <w:p w:rsidR="00461F7E" w:rsidRDefault="00EA21D7">
      <w:pPr>
        <w:spacing w:after="0"/>
        <w:ind w:firstLine="626"/>
      </w:pPr>
      <w:r>
        <w:rPr>
          <w:rFonts w:hint="eastAsia"/>
        </w:rPr>
        <w:t>符合本办法规定的同一项目同时符合区内其它政策和上级政策规定的，按照“从优、从高、不重复”的原则予以支持。本办法执行期自发布之日起至</w:t>
      </w:r>
      <w:r>
        <w:rPr>
          <w:rFonts w:hint="eastAsia"/>
        </w:rPr>
        <w:t>202</w:t>
      </w:r>
      <w:r>
        <w:t>5</w:t>
      </w:r>
      <w:r>
        <w:rPr>
          <w:rFonts w:hint="eastAsia"/>
        </w:rPr>
        <w:t>年</w:t>
      </w:r>
      <w:r>
        <w:t>12</w:t>
      </w:r>
      <w:r>
        <w:rPr>
          <w:rFonts w:hint="eastAsia"/>
        </w:rPr>
        <w:t>月</w:t>
      </w:r>
      <w:r>
        <w:t>31</w:t>
      </w:r>
      <w:r>
        <w:rPr>
          <w:rFonts w:hint="eastAsia"/>
        </w:rPr>
        <w:t>日。本办法由天津滨海高新区管委会负责解释。</w:t>
      </w:r>
    </w:p>
    <w:sectPr w:rsidR="00461F7E">
      <w:headerReference w:type="even" r:id="rId7"/>
      <w:headerReference w:type="default" r:id="rId8"/>
      <w:footerReference w:type="even" r:id="rId9"/>
      <w:footerReference w:type="default" r:id="rId10"/>
      <w:headerReference w:type="first" r:id="rId11"/>
      <w:footerReference w:type="first" r:id="rId12"/>
      <w:pgSz w:w="1191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E1" w:rsidRDefault="005B0DE1" w:rsidP="005A4B5B">
      <w:pPr>
        <w:spacing w:line="240" w:lineRule="auto"/>
        <w:ind w:firstLine="640"/>
      </w:pPr>
      <w:r>
        <w:separator/>
      </w:r>
    </w:p>
  </w:endnote>
  <w:endnote w:type="continuationSeparator" w:id="0">
    <w:p w:rsidR="005B0DE1" w:rsidRDefault="005B0DE1" w:rsidP="005A4B5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7E" w:rsidRDefault="00461F7E">
    <w:pPr>
      <w:pStyle w:val="a4"/>
      <w:ind w:firstLine="6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685746"/>
      <w:docPartObj>
        <w:docPartGallery w:val="Page Numbers (Bottom of Page)"/>
        <w:docPartUnique/>
      </w:docPartObj>
    </w:sdtPr>
    <w:sdtEndPr>
      <w:rPr>
        <w:sz w:val="22"/>
        <w:szCs w:val="22"/>
      </w:rPr>
    </w:sdtEndPr>
    <w:sdtContent>
      <w:p w:rsidR="005A4B5B" w:rsidRPr="006F086E" w:rsidRDefault="005A4B5B" w:rsidP="005A4B5B">
        <w:pPr>
          <w:pStyle w:val="a4"/>
          <w:ind w:firstLine="640"/>
          <w:jc w:val="center"/>
          <w:rPr>
            <w:sz w:val="22"/>
            <w:szCs w:val="22"/>
          </w:rPr>
        </w:pPr>
        <w:r w:rsidRPr="006F086E">
          <w:rPr>
            <w:sz w:val="22"/>
            <w:szCs w:val="22"/>
          </w:rPr>
          <w:fldChar w:fldCharType="begin"/>
        </w:r>
        <w:r w:rsidRPr="006F086E">
          <w:rPr>
            <w:sz w:val="22"/>
            <w:szCs w:val="22"/>
          </w:rPr>
          <w:instrText>PAGE   \* MERGEFORMAT</w:instrText>
        </w:r>
        <w:r w:rsidRPr="006F086E">
          <w:rPr>
            <w:sz w:val="22"/>
            <w:szCs w:val="22"/>
          </w:rPr>
          <w:fldChar w:fldCharType="separate"/>
        </w:r>
        <w:r w:rsidR="006F086E" w:rsidRPr="006F086E">
          <w:rPr>
            <w:noProof/>
            <w:sz w:val="22"/>
            <w:szCs w:val="22"/>
            <w:lang w:val="zh-CN"/>
          </w:rPr>
          <w:t>5</w:t>
        </w:r>
        <w:r w:rsidRPr="006F086E">
          <w:rPr>
            <w:sz w:val="22"/>
            <w:szCs w:val="22"/>
          </w:rPr>
          <w:fldChar w:fldCharType="end"/>
        </w:r>
      </w:p>
    </w:sdtContent>
  </w:sdt>
  <w:p w:rsidR="00461F7E" w:rsidRDefault="00461F7E">
    <w:pPr>
      <w:pStyle w:val="a4"/>
      <w:ind w:firstLineChars="0" w:firstLine="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7E" w:rsidRDefault="00461F7E">
    <w:pPr>
      <w:pStyle w:val="a4"/>
      <w:ind w:firstLine="6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E1" w:rsidRDefault="005B0DE1" w:rsidP="005A4B5B">
      <w:pPr>
        <w:spacing w:after="0" w:line="240" w:lineRule="auto"/>
        <w:ind w:firstLine="640"/>
      </w:pPr>
      <w:r>
        <w:separator/>
      </w:r>
    </w:p>
  </w:footnote>
  <w:footnote w:type="continuationSeparator" w:id="0">
    <w:p w:rsidR="005B0DE1" w:rsidRDefault="005B0DE1" w:rsidP="005A4B5B">
      <w:pPr>
        <w:spacing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7E" w:rsidRDefault="00461F7E">
    <w:pPr>
      <w:pStyle w:val="a5"/>
      <w:ind w:firstLine="6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7E" w:rsidRDefault="00461F7E">
    <w:pPr>
      <w:pStyle w:val="a5"/>
      <w:ind w:firstLine="6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7E" w:rsidRDefault="00461F7E">
    <w:pPr>
      <w:pStyle w:val="a5"/>
      <w:ind w:firstLine="62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2"/>
  </w:compat>
  <w:docVars>
    <w:docVar w:name="commondata" w:val="eyJoZGlkIjoiY2RjMTkxYjQwMGRkOGE3NTJmYThlZDUxZWJmMWM4ZjEifQ=="/>
  </w:docVars>
  <w:rsids>
    <w:rsidRoot w:val="000D72A2"/>
    <w:rsid w:val="B5BBB0A2"/>
    <w:rsid w:val="000418AC"/>
    <w:rsid w:val="000513FE"/>
    <w:rsid w:val="000542AD"/>
    <w:rsid w:val="000568D4"/>
    <w:rsid w:val="00062267"/>
    <w:rsid w:val="00066AA7"/>
    <w:rsid w:val="000757DD"/>
    <w:rsid w:val="000A6F27"/>
    <w:rsid w:val="000B2D89"/>
    <w:rsid w:val="000B53AD"/>
    <w:rsid w:val="000D72A2"/>
    <w:rsid w:val="000D76F2"/>
    <w:rsid w:val="000E3DC9"/>
    <w:rsid w:val="00101DA7"/>
    <w:rsid w:val="0010351C"/>
    <w:rsid w:val="00103C54"/>
    <w:rsid w:val="001224A9"/>
    <w:rsid w:val="001A4735"/>
    <w:rsid w:val="001C2852"/>
    <w:rsid w:val="001C3036"/>
    <w:rsid w:val="001C5E58"/>
    <w:rsid w:val="001D00AC"/>
    <w:rsid w:val="001D6666"/>
    <w:rsid w:val="001E2FC1"/>
    <w:rsid w:val="001E5595"/>
    <w:rsid w:val="001F341D"/>
    <w:rsid w:val="00201CD2"/>
    <w:rsid w:val="0021094D"/>
    <w:rsid w:val="002140FC"/>
    <w:rsid w:val="00232327"/>
    <w:rsid w:val="002346E8"/>
    <w:rsid w:val="0024207E"/>
    <w:rsid w:val="0024299F"/>
    <w:rsid w:val="002429E8"/>
    <w:rsid w:val="0026666F"/>
    <w:rsid w:val="0027502F"/>
    <w:rsid w:val="0028198C"/>
    <w:rsid w:val="00292117"/>
    <w:rsid w:val="002B107A"/>
    <w:rsid w:val="002C0D15"/>
    <w:rsid w:val="002D11D5"/>
    <w:rsid w:val="002E6EF6"/>
    <w:rsid w:val="002F3C7A"/>
    <w:rsid w:val="00305DF6"/>
    <w:rsid w:val="00313213"/>
    <w:rsid w:val="003150F9"/>
    <w:rsid w:val="00321B5C"/>
    <w:rsid w:val="00344B39"/>
    <w:rsid w:val="00353EA3"/>
    <w:rsid w:val="00373807"/>
    <w:rsid w:val="0038058D"/>
    <w:rsid w:val="00385D68"/>
    <w:rsid w:val="0039788E"/>
    <w:rsid w:val="003A1A75"/>
    <w:rsid w:val="003A49B6"/>
    <w:rsid w:val="003A4D06"/>
    <w:rsid w:val="003C79C0"/>
    <w:rsid w:val="003D4742"/>
    <w:rsid w:val="003D6505"/>
    <w:rsid w:val="003F77F5"/>
    <w:rsid w:val="004003A9"/>
    <w:rsid w:val="004170AE"/>
    <w:rsid w:val="00426CE0"/>
    <w:rsid w:val="00454639"/>
    <w:rsid w:val="00461F7E"/>
    <w:rsid w:val="00476EA1"/>
    <w:rsid w:val="00482EA9"/>
    <w:rsid w:val="004A2BB6"/>
    <w:rsid w:val="004A4BE4"/>
    <w:rsid w:val="004A519C"/>
    <w:rsid w:val="004B3E74"/>
    <w:rsid w:val="004E7645"/>
    <w:rsid w:val="00506611"/>
    <w:rsid w:val="0051232B"/>
    <w:rsid w:val="005401EB"/>
    <w:rsid w:val="00540EBE"/>
    <w:rsid w:val="00542F77"/>
    <w:rsid w:val="00563660"/>
    <w:rsid w:val="00580674"/>
    <w:rsid w:val="00585EAF"/>
    <w:rsid w:val="005913BF"/>
    <w:rsid w:val="00591AD6"/>
    <w:rsid w:val="005A269F"/>
    <w:rsid w:val="005A4B5B"/>
    <w:rsid w:val="005A6ADF"/>
    <w:rsid w:val="005B0DE1"/>
    <w:rsid w:val="005B4990"/>
    <w:rsid w:val="005C432A"/>
    <w:rsid w:val="005D310C"/>
    <w:rsid w:val="005F25C6"/>
    <w:rsid w:val="00614707"/>
    <w:rsid w:val="006229DC"/>
    <w:rsid w:val="0063581D"/>
    <w:rsid w:val="00642452"/>
    <w:rsid w:val="006467DE"/>
    <w:rsid w:val="006475B1"/>
    <w:rsid w:val="00647831"/>
    <w:rsid w:val="00647BFD"/>
    <w:rsid w:val="00661521"/>
    <w:rsid w:val="00684F6B"/>
    <w:rsid w:val="00697918"/>
    <w:rsid w:val="006B242D"/>
    <w:rsid w:val="006B6D0C"/>
    <w:rsid w:val="006C7231"/>
    <w:rsid w:val="006D3D23"/>
    <w:rsid w:val="006E01C1"/>
    <w:rsid w:val="006F086E"/>
    <w:rsid w:val="0070436A"/>
    <w:rsid w:val="00711D1C"/>
    <w:rsid w:val="00721A81"/>
    <w:rsid w:val="0073640C"/>
    <w:rsid w:val="007556B9"/>
    <w:rsid w:val="00760441"/>
    <w:rsid w:val="0076266A"/>
    <w:rsid w:val="00765E75"/>
    <w:rsid w:val="007670D1"/>
    <w:rsid w:val="0077029F"/>
    <w:rsid w:val="0077595F"/>
    <w:rsid w:val="00776233"/>
    <w:rsid w:val="007A18FC"/>
    <w:rsid w:val="007A43FC"/>
    <w:rsid w:val="007B610B"/>
    <w:rsid w:val="007E2E1E"/>
    <w:rsid w:val="007F023D"/>
    <w:rsid w:val="007F3003"/>
    <w:rsid w:val="00801BB8"/>
    <w:rsid w:val="00805C75"/>
    <w:rsid w:val="00816843"/>
    <w:rsid w:val="00820916"/>
    <w:rsid w:val="00825061"/>
    <w:rsid w:val="00832AB8"/>
    <w:rsid w:val="008536C4"/>
    <w:rsid w:val="008576F5"/>
    <w:rsid w:val="00860B9C"/>
    <w:rsid w:val="008709D4"/>
    <w:rsid w:val="00884923"/>
    <w:rsid w:val="00887A05"/>
    <w:rsid w:val="00892E46"/>
    <w:rsid w:val="00894BE2"/>
    <w:rsid w:val="0089602D"/>
    <w:rsid w:val="008A50F8"/>
    <w:rsid w:val="008A527E"/>
    <w:rsid w:val="008B2CB5"/>
    <w:rsid w:val="008C3B6C"/>
    <w:rsid w:val="008C4388"/>
    <w:rsid w:val="008E55C2"/>
    <w:rsid w:val="008E6A28"/>
    <w:rsid w:val="009173F7"/>
    <w:rsid w:val="00935BCC"/>
    <w:rsid w:val="0093614A"/>
    <w:rsid w:val="009506BB"/>
    <w:rsid w:val="00952F9C"/>
    <w:rsid w:val="009531DF"/>
    <w:rsid w:val="00962C6D"/>
    <w:rsid w:val="00964E0D"/>
    <w:rsid w:val="009748AC"/>
    <w:rsid w:val="0098712D"/>
    <w:rsid w:val="00987FDF"/>
    <w:rsid w:val="00992E2A"/>
    <w:rsid w:val="00995DD2"/>
    <w:rsid w:val="009B4910"/>
    <w:rsid w:val="009C085E"/>
    <w:rsid w:val="009D2A28"/>
    <w:rsid w:val="009D41CC"/>
    <w:rsid w:val="00A0613B"/>
    <w:rsid w:val="00A07369"/>
    <w:rsid w:val="00A161AC"/>
    <w:rsid w:val="00A32E26"/>
    <w:rsid w:val="00A44579"/>
    <w:rsid w:val="00A4774A"/>
    <w:rsid w:val="00A5236F"/>
    <w:rsid w:val="00A54ABA"/>
    <w:rsid w:val="00A55028"/>
    <w:rsid w:val="00A619B8"/>
    <w:rsid w:val="00A73CD1"/>
    <w:rsid w:val="00A7485C"/>
    <w:rsid w:val="00A92EBD"/>
    <w:rsid w:val="00AC0C3F"/>
    <w:rsid w:val="00AC5D24"/>
    <w:rsid w:val="00AD342B"/>
    <w:rsid w:val="00AE03DA"/>
    <w:rsid w:val="00AE2B36"/>
    <w:rsid w:val="00AE7F6F"/>
    <w:rsid w:val="00B04E14"/>
    <w:rsid w:val="00B238E5"/>
    <w:rsid w:val="00B33A17"/>
    <w:rsid w:val="00B37C84"/>
    <w:rsid w:val="00B41D49"/>
    <w:rsid w:val="00B43447"/>
    <w:rsid w:val="00B87D71"/>
    <w:rsid w:val="00B93516"/>
    <w:rsid w:val="00BA5562"/>
    <w:rsid w:val="00BB0963"/>
    <w:rsid w:val="00BB2153"/>
    <w:rsid w:val="00BB6C48"/>
    <w:rsid w:val="00BB6D24"/>
    <w:rsid w:val="00BE05E6"/>
    <w:rsid w:val="00BE367D"/>
    <w:rsid w:val="00BF3126"/>
    <w:rsid w:val="00BF3F60"/>
    <w:rsid w:val="00C00A60"/>
    <w:rsid w:val="00C03284"/>
    <w:rsid w:val="00C12FE0"/>
    <w:rsid w:val="00C22084"/>
    <w:rsid w:val="00C30017"/>
    <w:rsid w:val="00C402D8"/>
    <w:rsid w:val="00C42B64"/>
    <w:rsid w:val="00C45671"/>
    <w:rsid w:val="00C5018D"/>
    <w:rsid w:val="00C53AB9"/>
    <w:rsid w:val="00C54E52"/>
    <w:rsid w:val="00C622FB"/>
    <w:rsid w:val="00C667C8"/>
    <w:rsid w:val="00C66D77"/>
    <w:rsid w:val="00C81C28"/>
    <w:rsid w:val="00C82AF4"/>
    <w:rsid w:val="00C94712"/>
    <w:rsid w:val="00CA2CBE"/>
    <w:rsid w:val="00CA5414"/>
    <w:rsid w:val="00CD2E27"/>
    <w:rsid w:val="00CF1B81"/>
    <w:rsid w:val="00D03251"/>
    <w:rsid w:val="00D06F4A"/>
    <w:rsid w:val="00D11865"/>
    <w:rsid w:val="00D165EC"/>
    <w:rsid w:val="00D22F67"/>
    <w:rsid w:val="00D271E6"/>
    <w:rsid w:val="00D35B9B"/>
    <w:rsid w:val="00D54985"/>
    <w:rsid w:val="00D66C02"/>
    <w:rsid w:val="00D734DF"/>
    <w:rsid w:val="00D92003"/>
    <w:rsid w:val="00DB4150"/>
    <w:rsid w:val="00DB4EC8"/>
    <w:rsid w:val="00DB549B"/>
    <w:rsid w:val="00DC3415"/>
    <w:rsid w:val="00DD745A"/>
    <w:rsid w:val="00DE299B"/>
    <w:rsid w:val="00DE5248"/>
    <w:rsid w:val="00E03040"/>
    <w:rsid w:val="00E036FE"/>
    <w:rsid w:val="00E12171"/>
    <w:rsid w:val="00E12B46"/>
    <w:rsid w:val="00E310D3"/>
    <w:rsid w:val="00E3376D"/>
    <w:rsid w:val="00E34A50"/>
    <w:rsid w:val="00E57DDE"/>
    <w:rsid w:val="00E61659"/>
    <w:rsid w:val="00E853EF"/>
    <w:rsid w:val="00E86117"/>
    <w:rsid w:val="00E91D69"/>
    <w:rsid w:val="00E92AFC"/>
    <w:rsid w:val="00E95703"/>
    <w:rsid w:val="00EA21D7"/>
    <w:rsid w:val="00EA46DC"/>
    <w:rsid w:val="00EB1B49"/>
    <w:rsid w:val="00EB7234"/>
    <w:rsid w:val="00EC2276"/>
    <w:rsid w:val="00EC43A8"/>
    <w:rsid w:val="00ED7D8F"/>
    <w:rsid w:val="00EE58C1"/>
    <w:rsid w:val="00EF1AC1"/>
    <w:rsid w:val="00EF58DC"/>
    <w:rsid w:val="00F41E36"/>
    <w:rsid w:val="00F51CA0"/>
    <w:rsid w:val="00F635EE"/>
    <w:rsid w:val="00F80559"/>
    <w:rsid w:val="00F85855"/>
    <w:rsid w:val="00F91265"/>
    <w:rsid w:val="00FA36E1"/>
    <w:rsid w:val="00FA4C15"/>
    <w:rsid w:val="00FB091D"/>
    <w:rsid w:val="00FB5ABD"/>
    <w:rsid w:val="00FB7DED"/>
    <w:rsid w:val="00FC2504"/>
    <w:rsid w:val="00FD26B5"/>
    <w:rsid w:val="00FD629B"/>
    <w:rsid w:val="05256761"/>
    <w:rsid w:val="2E743D72"/>
    <w:rsid w:val="31D42671"/>
    <w:rsid w:val="46190C5B"/>
    <w:rsid w:val="4D1874A3"/>
    <w:rsid w:val="4D42448D"/>
    <w:rsid w:val="73D250C9"/>
    <w:rsid w:val="7CB00F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after="160" w:line="600" w:lineRule="exact"/>
      <w:ind w:firstLineChars="200" w:firstLine="200"/>
      <w:jc w:val="both"/>
    </w:pPr>
    <w:rPr>
      <w:rFonts w:ascii="Times New Roman" w:eastAsia="仿宋_GB2312" w:hAnsi="Times New Roman" w:cs="仿宋"/>
      <w:spacing w:val="-7"/>
      <w:sz w:val="32"/>
      <w:szCs w:val="32"/>
    </w:rPr>
  </w:style>
  <w:style w:type="paragraph" w:styleId="1">
    <w:name w:val="heading 1"/>
    <w:basedOn w:val="a"/>
    <w:next w:val="a"/>
    <w:uiPriority w:val="9"/>
    <w:qFormat/>
    <w:pPr>
      <w:spacing w:line="560" w:lineRule="exact"/>
      <w:outlineLvl w:val="0"/>
    </w:pPr>
    <w:rPr>
      <w:rFonts w:ascii="黑体" w:eastAsia="黑体" w:hAnsi="黑体" w:cs="Arial Unicode MS"/>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90"/>
      <w:ind w:left="104" w:firstLine="640"/>
    </w:pPr>
  </w:style>
  <w:style w:type="paragraph" w:styleId="a4">
    <w:name w:val="footer"/>
    <w:basedOn w:val="a"/>
    <w:link w:val="Char"/>
    <w:uiPriority w:val="99"/>
    <w:unhideWhenUsed/>
    <w:qFormat/>
    <w:pPr>
      <w:tabs>
        <w:tab w:val="center" w:pos="4153"/>
        <w:tab w:val="right" w:pos="8306"/>
      </w:tabs>
    </w:pPr>
  </w:style>
  <w:style w:type="paragraph" w:styleId="a5">
    <w:name w:val="header"/>
    <w:basedOn w:val="a"/>
    <w:link w:val="Char0"/>
    <w:uiPriority w:val="99"/>
    <w:unhideWhenUsed/>
    <w:qFormat/>
    <w:pPr>
      <w:tabs>
        <w:tab w:val="center" w:pos="4153"/>
        <w:tab w:val="right" w:pos="8306"/>
      </w:tabs>
    </w:p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Char0">
    <w:name w:val="页眉 Char"/>
    <w:basedOn w:val="a0"/>
    <w:link w:val="a5"/>
    <w:uiPriority w:val="99"/>
    <w:qFormat/>
    <w:rPr>
      <w:rFonts w:ascii="仿宋" w:eastAsia="仿宋" w:hAnsi="仿宋" w:cs="仿宋"/>
    </w:rPr>
  </w:style>
  <w:style w:type="character" w:customStyle="1" w:styleId="Char">
    <w:name w:val="页脚 Char"/>
    <w:basedOn w:val="a0"/>
    <w:link w:val="a4"/>
    <w:uiPriority w:val="99"/>
    <w:qFormat/>
    <w:rPr>
      <w:rFonts w:ascii="仿宋" w:eastAsia="仿宋" w:hAnsi="仿宋" w:cs="仿宋"/>
    </w:rPr>
  </w:style>
  <w:style w:type="paragraph" w:customStyle="1" w:styleId="10">
    <w:name w:val="修订1"/>
    <w:hidden/>
    <w:uiPriority w:val="99"/>
    <w:semiHidden/>
    <w:qFormat/>
    <w:rPr>
      <w:rFonts w:ascii="Times New Roman" w:eastAsia="仿宋_GB2312" w:hAnsi="Times New Roman" w:cs="仿宋"/>
      <w:spacing w:val="-7"/>
      <w:sz w:val="32"/>
      <w:szCs w:val="32"/>
    </w:rPr>
  </w:style>
  <w:style w:type="paragraph" w:customStyle="1" w:styleId="2">
    <w:name w:val="修订2"/>
    <w:hidden/>
    <w:uiPriority w:val="99"/>
    <w:semiHidden/>
    <w:qFormat/>
    <w:rPr>
      <w:rFonts w:ascii="Times New Roman" w:eastAsia="仿宋_GB2312" w:hAnsi="Times New Roman" w:cs="仿宋"/>
      <w:spacing w:val="-7"/>
      <w:sz w:val="32"/>
      <w:szCs w:val="32"/>
    </w:rPr>
  </w:style>
  <w:style w:type="paragraph" w:styleId="a7">
    <w:name w:val="Balloon Text"/>
    <w:basedOn w:val="a"/>
    <w:link w:val="Char1"/>
    <w:uiPriority w:val="99"/>
    <w:semiHidden/>
    <w:unhideWhenUsed/>
    <w:rsid w:val="006F086E"/>
    <w:pPr>
      <w:spacing w:after="0" w:line="240" w:lineRule="auto"/>
    </w:pPr>
    <w:rPr>
      <w:sz w:val="18"/>
      <w:szCs w:val="18"/>
    </w:rPr>
  </w:style>
  <w:style w:type="character" w:customStyle="1" w:styleId="Char1">
    <w:name w:val="批注框文本 Char"/>
    <w:basedOn w:val="a0"/>
    <w:link w:val="a7"/>
    <w:uiPriority w:val="99"/>
    <w:semiHidden/>
    <w:rsid w:val="006F086E"/>
    <w:rPr>
      <w:rFonts w:ascii="Times New Roman" w:eastAsia="仿宋_GB2312" w:hAnsi="Times New Roman" w:cs="仿宋"/>
      <w:spacing w:val="-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943</Words>
  <Characters>1292</Characters>
  <Application>Microsoft Office Word</Application>
  <DocSecurity>0</DocSecurity>
  <Lines>646</Lines>
  <Paragraphs>223</Paragraphs>
  <ScaleCrop>false</ScaleCrop>
  <Company>P R C</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孙夏</dc:creator>
  <cp:lastModifiedBy>Windows User</cp:lastModifiedBy>
  <cp:revision>134</cp:revision>
  <cp:lastPrinted>2022-08-17T15:16:00Z</cp:lastPrinted>
  <dcterms:created xsi:type="dcterms:W3CDTF">2022-07-20T18:51:00Z</dcterms:created>
  <dcterms:modified xsi:type="dcterms:W3CDTF">2022-10-20T01:56:00Z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WPS 文字</vt:lpwstr>
  </property>
  <property fmtid="{D5CDD505-2E9C-101B-9397-08002B2CF9AE}" pid="4" name="LastSaved">
    <vt:filetime>2022-07-20T00:00:00Z</vt:filetime>
  </property>
  <property fmtid="{D5CDD505-2E9C-101B-9397-08002B2CF9AE}" pid="5" name="KSOProductBuildVer">
    <vt:lpwstr>2052-11.1.0.12598</vt:lpwstr>
  </property>
  <property fmtid="{D5CDD505-2E9C-101B-9397-08002B2CF9AE}" pid="6" name="ICV">
    <vt:lpwstr>01C55F06B73A4059A44FFADAC56107BD</vt:lpwstr>
  </property>
</Properties>
</file>