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附件3：</w:t>
      </w:r>
      <w:bookmarkStart w:id="0" w:name="_GoBack"/>
      <w:r>
        <w:rPr>
          <w:rFonts w:hint="eastAsia" w:ascii="华文仿宋" w:hAnsi="华文仿宋" w:eastAsia="华文仿宋"/>
          <w:b/>
          <w:sz w:val="28"/>
          <w:szCs w:val="28"/>
        </w:rPr>
        <w:t>西南交通大学2</w:t>
      </w:r>
      <w:r>
        <w:rPr>
          <w:rFonts w:ascii="华文仿宋" w:hAnsi="华文仿宋" w:eastAsia="华文仿宋"/>
          <w:b/>
          <w:sz w:val="28"/>
          <w:szCs w:val="28"/>
        </w:rPr>
        <w:t>023</w:t>
      </w:r>
      <w:r>
        <w:rPr>
          <w:rFonts w:hint="eastAsia" w:ascii="华文仿宋" w:hAnsi="华文仿宋" w:eastAsia="华文仿宋"/>
          <w:b/>
          <w:sz w:val="28"/>
          <w:szCs w:val="28"/>
        </w:rPr>
        <w:t>年高水平运动队测试内容及标准</w:t>
      </w:r>
      <w:bookmarkEnd w:id="0"/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西南交通大学</w:t>
      </w:r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2023年高水平运动队排球测试内容及标准</w:t>
      </w:r>
    </w:p>
    <w:p>
      <w:pPr>
        <w:spacing w:before="156" w:after="156" w:line="360" w:lineRule="auto"/>
        <w:rPr>
          <w:rFonts w:cs="宋体" w:asciiTheme="minorEastAsia" w:hAnsiTheme="minorEastAsia"/>
          <w:b/>
          <w:sz w:val="24"/>
        </w:rPr>
      </w:pPr>
      <w:r>
        <w:rPr>
          <w:rFonts w:cs="宋体" w:asciiTheme="minorEastAsia" w:hAnsiTheme="minorEastAsia"/>
          <w:b/>
          <w:sz w:val="24"/>
        </w:rPr>
        <w:t>一﹑测试指标及所占比例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1、助跑摸高（双脚起跳）</w:t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>（10分）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2、发球</w:t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hint="eastAsia" w:cs="宋体" w:asciiTheme="minorEastAsia" w:hAnsiTheme="minorEastAsia"/>
          <w:sz w:val="24"/>
        </w:rPr>
        <w:t xml:space="preserve">       </w:t>
      </w:r>
      <w:r>
        <w:rPr>
          <w:rFonts w:cs="宋体" w:asciiTheme="minorEastAsia" w:hAnsiTheme="minorEastAsia"/>
          <w:sz w:val="24"/>
        </w:rPr>
        <w:t>（10分）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3、移动垫球                     （10分）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4、传球                         （二传20分、攻手10分）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5、扣球</w:t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hint="eastAsia" w:cs="宋体" w:asciiTheme="minorEastAsia" w:hAnsiTheme="minorEastAsia"/>
          <w:sz w:val="24"/>
        </w:rPr>
        <w:t xml:space="preserve">        </w:t>
      </w:r>
      <w:r>
        <w:rPr>
          <w:rFonts w:cs="宋体" w:asciiTheme="minorEastAsia" w:hAnsiTheme="minorEastAsia"/>
          <w:sz w:val="24"/>
        </w:rPr>
        <w:t>（攻手20分、二传10分）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6、实战能力</w:t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hint="eastAsia" w:cs="宋体" w:asciiTheme="minorEastAsia" w:hAnsiTheme="minorEastAsia"/>
          <w:sz w:val="24"/>
        </w:rPr>
        <w:t xml:space="preserve">        </w:t>
      </w:r>
      <w:r>
        <w:rPr>
          <w:rFonts w:cs="宋体" w:asciiTheme="minorEastAsia" w:hAnsiTheme="minorEastAsia"/>
          <w:sz w:val="24"/>
        </w:rPr>
        <w:t>（40分）</w:t>
      </w:r>
    </w:p>
    <w:p>
      <w:pPr>
        <w:spacing w:before="156" w:after="156" w:line="360" w:lineRule="auto"/>
        <w:rPr>
          <w:rFonts w:cs="宋体" w:asciiTheme="minorEastAsia" w:hAnsiTheme="minorEastAsia"/>
          <w:b/>
          <w:sz w:val="24"/>
        </w:rPr>
      </w:pPr>
      <w:r>
        <w:rPr>
          <w:rFonts w:cs="宋体" w:asciiTheme="minorEastAsia" w:hAnsiTheme="minorEastAsia"/>
          <w:b/>
          <w:sz w:val="24"/>
        </w:rPr>
        <w:t>二﹑测试方法与评分标准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（一）助跑摸高（双脚起跳）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1、测试方法：考生助跑双足起跳单手摸有固定标尺的高物，记下绝对高度。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2、成绩评定：每人2次摸高，以最高1次计算成绩。成绩评定见</w:t>
      </w:r>
      <w:r>
        <w:rPr>
          <w:rFonts w:hint="eastAsia" w:cs="宋体" w:asciiTheme="minorEastAsia" w:hAnsiTheme="minorEastAsia"/>
          <w:sz w:val="24"/>
        </w:rPr>
        <w:t>表1</w:t>
      </w:r>
      <w:r>
        <w:rPr>
          <w:rFonts w:cs="宋体" w:asciiTheme="minorEastAsia" w:hAnsiTheme="minorEastAsia"/>
          <w:sz w:val="24"/>
        </w:rPr>
        <w:t>。</w:t>
      </w:r>
    </w:p>
    <w:p>
      <w:pPr>
        <w:spacing w:line="360" w:lineRule="exact"/>
        <w:jc w:val="center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表1</w:t>
      </w:r>
      <w:r>
        <w:rPr>
          <w:rFonts w:cs="宋体" w:asciiTheme="minorEastAsia" w:hAnsiTheme="minorEastAsia"/>
          <w:b/>
          <w:bCs/>
          <w:sz w:val="24"/>
        </w:rPr>
        <w:t>-</w:t>
      </w:r>
      <w:r>
        <w:rPr>
          <w:rFonts w:hint="eastAsia" w:cs="宋体" w:asciiTheme="minorEastAsia" w:hAnsiTheme="minorEastAsia"/>
          <w:b/>
          <w:bCs/>
          <w:sz w:val="24"/>
        </w:rPr>
        <w:t>助跑摸高成绩评分表（</w:t>
      </w:r>
      <w:r>
        <w:rPr>
          <w:rFonts w:hint="eastAsia" w:cs="宋体" w:asciiTheme="minorEastAsia" w:hAnsiTheme="minorEastAsia"/>
          <w:sz w:val="24"/>
        </w:rPr>
        <w:t>单位：米）</w:t>
      </w:r>
    </w:p>
    <w:tbl>
      <w:tblPr>
        <w:tblStyle w:val="10"/>
        <w:tblpPr w:leftFromText="180" w:rightFromText="180" w:vertAnchor="text" w:horzAnchor="margin" w:tblpY="26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025"/>
        <w:gridCol w:w="2414"/>
        <w:gridCol w:w="16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成绩（男）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分值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成绩（女）</w:t>
            </w:r>
          </w:p>
        </w:tc>
        <w:tc>
          <w:tcPr>
            <w:tcW w:w="1609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3.25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10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3.00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3.23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2.97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</w:t>
            </w:r>
            <w:r>
              <w:rPr>
                <w:rFonts w:cs="宋体" w:asciiTheme="minorEastAsia" w:hAnsiTheme="minorEastAsia"/>
                <w:sz w:val="24"/>
              </w:rPr>
              <w:t>21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8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2.94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3.19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2.91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3.17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6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2.88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  <w:r>
              <w:rPr>
                <w:rFonts w:cs="宋体" w:asciiTheme="minorEastAsia" w:hAnsiTheme="minorEastAsia"/>
                <w:sz w:val="24"/>
              </w:rPr>
              <w:t>.15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2.85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  <w:r>
              <w:rPr>
                <w:rFonts w:cs="宋体" w:asciiTheme="minorEastAsia" w:hAnsiTheme="minorEastAsia"/>
                <w:sz w:val="24"/>
              </w:rPr>
              <w:t>.13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2.82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ind w:firstLine="600" w:firstLineChars="250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3.11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2.79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  <w:r>
              <w:rPr>
                <w:rFonts w:cs="宋体" w:asciiTheme="minorEastAsia" w:hAnsiTheme="minorEastAsia"/>
                <w:sz w:val="24"/>
              </w:rPr>
              <w:t>.09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2.76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15" w:type="dxa"/>
            <w:vAlign w:val="center"/>
          </w:tcPr>
          <w:p>
            <w:pPr>
              <w:spacing w:line="240" w:lineRule="exact"/>
              <w:ind w:firstLine="600" w:firstLineChars="250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3.07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2414" w:type="dxa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2.73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</w:tr>
    </w:tbl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（二）发球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1、测试方法：考生持球在端线后，每人连续发球5次。记录成功发球的次数。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2、成绩评定：考生在</w:t>
      </w:r>
      <w:r>
        <w:rPr>
          <w:rFonts w:cs="宋体" w:asciiTheme="minorEastAsia" w:hAnsiTheme="minorEastAsia"/>
          <w:sz w:val="24"/>
        </w:rPr>
        <w:t>发球区内，按照规则要求发球，</w:t>
      </w:r>
      <w:r>
        <w:rPr>
          <w:rFonts w:hint="eastAsia" w:cs="宋体" w:asciiTheme="minorEastAsia" w:hAnsiTheme="minorEastAsia"/>
          <w:sz w:val="24"/>
        </w:rPr>
        <w:t>在</w:t>
      </w:r>
      <w:r>
        <w:rPr>
          <w:rFonts w:cs="宋体" w:asciiTheme="minorEastAsia" w:hAnsiTheme="minorEastAsia"/>
          <w:sz w:val="24"/>
        </w:rPr>
        <w:t>发球成功的条件下，考官</w:t>
      </w:r>
      <w:r>
        <w:rPr>
          <w:rFonts w:hint="eastAsia" w:cs="宋体" w:asciiTheme="minorEastAsia" w:hAnsiTheme="minorEastAsia"/>
          <w:sz w:val="24"/>
        </w:rPr>
        <w:t>根据</w:t>
      </w:r>
      <w:r>
        <w:rPr>
          <w:rFonts w:cs="宋体" w:asciiTheme="minorEastAsia" w:hAnsiTheme="minorEastAsia"/>
          <w:sz w:val="24"/>
        </w:rPr>
        <w:t>每个球的速度、力量、落点给予分数。</w:t>
      </w:r>
      <w:r>
        <w:rPr>
          <w:rFonts w:hint="eastAsia" w:cs="宋体" w:asciiTheme="minorEastAsia" w:hAnsiTheme="minorEastAsia"/>
          <w:sz w:val="24"/>
        </w:rPr>
        <w:t>（速度</w:t>
      </w:r>
      <w:r>
        <w:rPr>
          <w:rFonts w:cs="宋体" w:asciiTheme="minorEastAsia" w:hAnsiTheme="minorEastAsia"/>
          <w:sz w:val="24"/>
        </w:rPr>
        <w:t>越快，力量越大，落点</w:t>
      </w:r>
      <w:r>
        <w:rPr>
          <w:rFonts w:hint="eastAsia" w:cs="宋体" w:asciiTheme="minorEastAsia" w:hAnsiTheme="minorEastAsia"/>
          <w:sz w:val="24"/>
        </w:rPr>
        <w:t>越</w:t>
      </w:r>
      <w:r>
        <w:rPr>
          <w:rFonts w:cs="宋体" w:asciiTheme="minorEastAsia" w:hAnsiTheme="minorEastAsia"/>
          <w:sz w:val="24"/>
        </w:rPr>
        <w:t>刁钻，分值就越高</w:t>
      </w:r>
      <w:r>
        <w:rPr>
          <w:rFonts w:hint="eastAsia" w:cs="宋体" w:asciiTheme="minorEastAsia" w:hAnsiTheme="minorEastAsia"/>
          <w:sz w:val="24"/>
        </w:rPr>
        <w:t>）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（三）移动垫球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1、测试方法：考生一号位五号位左右移动垫球。</w:t>
      </w:r>
      <w:r>
        <w:rPr>
          <w:rFonts w:hint="eastAsia" w:cs="宋体" w:asciiTheme="minorEastAsia" w:hAnsiTheme="minorEastAsia"/>
          <w:sz w:val="24"/>
        </w:rPr>
        <w:t>接对面隔网下手发过来的球</w:t>
      </w:r>
      <w:r>
        <w:rPr>
          <w:rFonts w:cs="宋体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2、成绩评定：一传到位可记分。考生垫五个一传共10分。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（四）传球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1、测试方法：分为二传传球和攻手传球两种，测试方法不一样。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二传传球：从一号位插上到二号位传</w:t>
      </w:r>
      <w:r>
        <w:rPr>
          <w:rFonts w:hint="eastAsia" w:cs="宋体" w:asciiTheme="minorEastAsia" w:hAnsiTheme="minorEastAsia"/>
          <w:sz w:val="24"/>
        </w:rPr>
        <w:t>球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攻手传球：站在后排六号调整传球到四号位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2、成绩评定：传球要求四号位高球进攻。考生传五个传球（二传共20分、攻手共10分）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（五）扣球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1、测试方法：考生根据报考信息进行专位扣球，主攻4号位扣球；副攻3号位扣快球或短平；接应2号位扣球；二传可以选择4号位或2号位扣球，由考生自己把球抛给二传。见图1。</w:t>
      </w:r>
    </w:p>
    <w:p>
      <w:pPr>
        <w:spacing w:line="360" w:lineRule="auto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198120</wp:posOffset>
                </wp:positionV>
                <wp:extent cx="2628900" cy="2377440"/>
                <wp:effectExtent l="13335" t="9525" r="5715" b="1333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377440"/>
                          <a:chOff x="3060" y="9240"/>
                          <a:chExt cx="4140" cy="3744"/>
                        </a:xfrm>
                      </wpg:grpSpPr>
                      <wpg:grpSp>
                        <wpg:cNvPr id="21" name="Group 15"/>
                        <wpg:cNvGrpSpPr/>
                        <wpg:grpSpPr>
                          <a:xfrm>
                            <a:off x="3060" y="9240"/>
                            <a:ext cx="4140" cy="3744"/>
                            <a:chOff x="3060" y="9240"/>
                            <a:chExt cx="4140" cy="3744"/>
                          </a:xfrm>
                        </wpg:grpSpPr>
                        <wps:wsp>
                          <wps:cNvPr id="22" name="矩形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9240"/>
                              <a:ext cx="4140" cy="37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785" w:firstLineChars="850"/>
                                </w:pPr>
                                <w:r>
                                  <w:rPr>
                                    <w:rFonts w:hint="eastAsia"/>
                                  </w:rPr>
                                  <w:t>线</w:t>
                                </w:r>
                              </w:p>
                              <w:p>
                                <w:pPr>
                                  <w:ind w:firstLine="840" w:firstLineChars="400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ind w:firstLine="945" w:firstLineChars="450"/>
                                </w:pPr>
                                <w:r>
                                  <w:rPr>
                                    <w:rFonts w:hint="eastAsia"/>
                                  </w:rPr>
                                  <w:t>斜</w:t>
                                </w:r>
                              </w:p>
                              <w:p>
                                <w:pPr>
                                  <w:ind w:firstLine="1890" w:firstLineChars="900"/>
                                </w:pPr>
                                <w:r>
                                  <w:rPr>
                                    <w:rFonts w:hint="eastAsia"/>
                                  </w:rPr>
                                  <w:t>线</w:t>
                                </w:r>
                              </w:p>
                              <w:p>
                                <w:pPr>
                                  <w:ind w:firstLine="105" w:firstLineChars="50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小          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 xml:space="preserve">         斜                大    小</w:t>
                                </w:r>
                              </w:p>
                              <w:p>
                                <w:pPr>
                                  <w:ind w:firstLine="210" w:firstLineChars="100"/>
                                </w:pPr>
                              </w:p>
                              <w:p>
                                <w:pPr>
                                  <w:ind w:firstLine="210" w:firstLineChars="100"/>
                                </w:pPr>
                                <w:r>
                                  <w:rPr>
                                    <w:rFonts w:hint="eastAsia"/>
                                  </w:rPr>
                                  <w:t>大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 xml:space="preserve">                           直    直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 xml:space="preserve">                        </w:t>
                                </w:r>
                              </w:p>
                              <w:p>
                                <w:pPr>
                                  <w:ind w:firstLine="210" w:firstLineChars="100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一    般    区       线    线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直接连接符 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9240"/>
                              <a:ext cx="4140" cy="20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6" name="直接连接符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60" y="9240"/>
                              <a:ext cx="4140" cy="3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27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060" y="10020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8pt;margin-top:15.6pt;height:187.2pt;width:207pt;z-index:251659264;mso-width-relative:page;mso-height-relative:page;" coordorigin="3060,9240" coordsize="4140,3744" o:gfxdata="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l7ao7tkAAAAKAQAADwAA&#10;AAAAAAABACAAAAAiAAAAZHJzL2Rvd25yZXYueG1sUEsBAhQAFAAAAAgAh07iQPuWGy9rAwAAdAwA&#10;AA4AAAAAAAAAAQAgAAAAKAEAAGRycy9lMm9Eb2MueG1sUEsFBgAAAAAGAAYAWQEAAAUHAAAAAA==&#10;">
                <o:lock v:ext="edit" aspectratio="f"/>
                <v:group id="Group 15" o:spid="_x0000_s1026" o:spt="203" style="position:absolute;left:3060;top:9240;height:3744;width:4140;" coordorigin="3060,9240" coordsize="4140,3744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21" o:spid="_x0000_s1026" o:spt="1" style="position:absolute;left:3060;top:9240;height:3744;width:4140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785" w:firstLineChars="850"/>
                          </w:pPr>
                          <w:r>
                            <w:rPr>
                              <w:rFonts w:hint="eastAsia"/>
                            </w:rPr>
                            <w:t>线</w:t>
                          </w:r>
                        </w:p>
                        <w:p>
                          <w:pPr>
                            <w:ind w:firstLine="840" w:firstLineChars="400"/>
                          </w:pPr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</w:p>
                        <w:p>
                          <w:pPr>
                            <w:ind w:firstLine="945" w:firstLineChars="450"/>
                          </w:pPr>
                          <w:r>
                            <w:rPr>
                              <w:rFonts w:hint="eastAsia"/>
                            </w:rPr>
                            <w:t>斜</w:t>
                          </w:r>
                        </w:p>
                        <w:p>
                          <w:pPr>
                            <w:ind w:firstLine="1890" w:firstLineChars="900"/>
                          </w:pPr>
                          <w:r>
                            <w:rPr>
                              <w:rFonts w:hint="eastAsia"/>
                            </w:rPr>
                            <w:t>线</w:t>
                          </w:r>
                        </w:p>
                        <w:p>
                          <w:pPr>
                            <w:ind w:firstLine="105" w:firstLineChars="50"/>
                          </w:pPr>
                          <w:r>
                            <w:rPr>
                              <w:rFonts w:hint="eastAsia"/>
                            </w:rPr>
                            <w:t xml:space="preserve">小          </w:t>
                          </w:r>
                        </w:p>
                        <w:p>
                          <w:r>
                            <w:rPr>
                              <w:rFonts w:hint="eastAsia"/>
                            </w:rPr>
                            <w:t xml:space="preserve">         斜                大    小</w:t>
                          </w:r>
                        </w:p>
                        <w:p>
                          <w:pPr>
                            <w:ind w:firstLine="210" w:firstLineChars="100"/>
                          </w:pPr>
                        </w:p>
                        <w:p>
                          <w:pPr>
                            <w:ind w:firstLine="210" w:firstLineChars="100"/>
                          </w:pPr>
                          <w:r>
                            <w:rPr>
                              <w:rFonts w:hint="eastAsia"/>
                            </w:rPr>
                            <w:t>大</w:t>
                          </w:r>
                        </w:p>
                        <w:p>
                          <w:r>
                            <w:rPr>
                              <w:rFonts w:hint="eastAsia"/>
                            </w:rPr>
                            <w:t xml:space="preserve">                           直    直</w:t>
                          </w:r>
                        </w:p>
                        <w:p>
                          <w:r>
                            <w:rPr>
                              <w:rFonts w:hint="eastAsia"/>
                            </w:rPr>
                            <w:t xml:space="preserve">                        </w:t>
                          </w:r>
                        </w:p>
                        <w:p>
                          <w:pPr>
                            <w:ind w:firstLine="210" w:firstLineChars="100"/>
                          </w:pPr>
                          <w:r>
                            <w:rPr>
                              <w:rFonts w:hint="eastAsia"/>
                            </w:rPr>
                            <w:t xml:space="preserve">    一    般    区       线    线</w:t>
                          </w:r>
                        </w:p>
                        <w:p/>
                      </w:txbxContent>
                    </v:textbox>
                  </v:rect>
                  <v:line id="_x0000_s1026" o:spid="_x0000_s1026" o:spt="20" style="position:absolute;left:3060;top:9240;flip:x;height:2028;width:4140;" filled="f" stroked="t" coordsize="21600,21600" o:gfxdata="UEsDBAoAAAAAAIdO4kAAAAAAAAAAAAAAAAAEAAAAZHJzL1BLAwQUAAAACACHTuJAKIy6SL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SBf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jLpI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接连接符 22" o:spid="_x0000_s1026" o:spt="20" style="position:absolute;left:3060;top:9240;flip:x;height:3120;width:4140;" filled="f" stroked="t" coordsize="21600,21600" o:gfxdata="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7GdC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line id="直接连接符 20" o:spid="_x0000_s1026" o:spt="20" style="position:absolute;left:3060;top:10020;height:0;width:4140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cs="宋体" w:asciiTheme="minorEastAsia" w:hAnsiTheme="minorEastAsia"/>
          <w:sz w:val="24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198120</wp:posOffset>
                </wp:positionV>
                <wp:extent cx="0" cy="2377440"/>
                <wp:effectExtent l="0" t="0" r="38100" b="2286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95pt;margin-top:15.6pt;height:187.2pt;width:0pt;z-index:251660288;mso-width-relative:page;mso-height-relative:page;" filled="f" stroked="t" coordsize="21600,21600" o:gfxdata="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c9U6m1wAA&#10;AAoBAAAPAAAAAAAAAAEAIAAAACIAAABkcnMvZG93bnJldi54bWxQSwECFAAUAAAACACHTuJA6elH&#10;Le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宋体" w:asciiTheme="minorEastAsia" w:hAnsiTheme="minorEastAsia"/>
          <w:sz w:val="24"/>
        </w:rPr>
        <mc:AlternateContent>
          <mc:Choice Requires="wps">
            <w:drawing>
              <wp:anchor distT="0" distB="0" distL="113665" distR="113665" simplePos="0" relativeHeight="251661312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198120</wp:posOffset>
                </wp:positionV>
                <wp:extent cx="0" cy="2377440"/>
                <wp:effectExtent l="0" t="0" r="38100" b="228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95pt;margin-top:15.6pt;height:187.2pt;width:0pt;z-index:251661312;mso-width-relative:page;mso-height-relative:page;" filled="f" stroked="t" coordsize="21600,21600" o:gfxdata="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i6ELLWAAAA&#10;CgEAAA8AAAAAAAAAAQAgAAAAIgAAAGRycy9kb3ducmV2LnhtbFBLAQIUABQAAAAIAIdO4kABTUh8&#10;5gEAAKw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</w:t>
      </w:r>
    </w:p>
    <w:p>
      <w:pPr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4.5米</w:t>
      </w:r>
    </w:p>
    <w:p>
      <w:pPr>
        <w:ind w:firstLine="480" w:firstLineChars="200"/>
        <w:rPr>
          <w:rFonts w:cs="宋体" w:asciiTheme="minorEastAsia" w:hAnsiTheme="minorEastAsia"/>
          <w:sz w:val="24"/>
        </w:rPr>
      </w:pPr>
    </w:p>
    <w:p>
      <w:pPr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7.5米 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mc:AlternateContent>
          <mc:Choice Requires="wps">
            <w:drawing>
              <wp:anchor distT="0" distB="0" distL="113665" distR="113665" simplePos="0" relativeHeight="251662336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0</wp:posOffset>
                </wp:positionV>
                <wp:extent cx="0" cy="99060"/>
                <wp:effectExtent l="0" t="0" r="38100" b="3429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95pt;margin-top:0pt;height:7.8pt;width:0pt;z-index:251662336;mso-width-relative:page;mso-height-relative:page;" filled="f" stroked="t" coordsize="21600,21600" o:gfxdata="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jv0Ke1AAAAAcBAAAP&#10;AAAAAAAAAAEAIAAAACIAAABkcnMvZG93bnJldi54bWxQSwECFAAUAAAACACHTuJA/BzKy+MBAACq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宋体" w:asciiTheme="minorEastAsia" w:hAnsiTheme="minorEastAsia"/>
          <w:sz w:val="24"/>
        </w:rPr>
        <mc:AlternateContent>
          <mc:Choice Requires="wps">
            <w:drawing>
              <wp:anchor distT="0" distB="0" distL="113665" distR="113665" simplePos="0" relativeHeight="251662336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0</wp:posOffset>
                </wp:positionV>
                <wp:extent cx="0" cy="99060"/>
                <wp:effectExtent l="0" t="0" r="38100" b="3429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95pt;margin-top:0pt;height:7.8pt;width:0pt;z-index:251662336;mso-width-relative:page;mso-height-relative:page;" filled="f" stroked="t" coordsize="21600,21600" o:gfxdata="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F0fnrUAAAABwEAAA8A&#10;AAAAAAAAAQAgAAAAIgAAAGRycy9kb3ducmV2LnhtbFBLAQIUABQAAAAIAIdO4kABQ21N4gEAAKo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宋体" w:asciiTheme="minorEastAsia" w:hAnsiTheme="minorEastAsia"/>
          <w:sz w:val="24"/>
        </w:rPr>
        <w:t xml:space="preserve">    </w:t>
      </w:r>
      <w:r>
        <w:rPr>
          <w:rFonts w:cs="宋体" w:asciiTheme="minorEastAsia" w:hAnsiTheme="minorEastAsia"/>
          <w:sz w:val="24"/>
        </w:rPr>
        <w:t xml:space="preserve">             </w:t>
      </w:r>
      <w:r>
        <w:rPr>
          <w:rFonts w:hint="eastAsia" w:cs="宋体" w:asciiTheme="minorEastAsia" w:hAnsiTheme="minorEastAsia"/>
          <w:sz w:val="24"/>
        </w:rPr>
        <w:t xml:space="preserve">                          1.5米  1.5米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3120" w:firstLineChars="13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图1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2、成绩评定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 xml:space="preserve">二传扣五次球无线路的要求，每球2分共10分。 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攻手连续扣5次直线，再连续扣5次斜线，共扣球10次。每球2分共20分</w:t>
      </w:r>
      <w:r>
        <w:rPr>
          <w:rFonts w:hint="eastAsia" w:cs="宋体" w:asciiTheme="minorEastAsia" w:hAnsiTheme="minorEastAsia"/>
          <w:sz w:val="24"/>
        </w:rPr>
        <w:t>，由考官根据考生起跳高度、扣球力量、落点进行评分</w:t>
      </w:r>
      <w:r>
        <w:rPr>
          <w:rFonts w:cs="宋体" w:asciiTheme="minorEastAsia" w:hAnsiTheme="minorEastAsia"/>
          <w:sz w:val="24"/>
        </w:rPr>
        <w:t>。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（1）直线扣球评分：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① 落点在1.5米小直线区内，有一定力量，2分；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② 落点在1.5米大直线区内，有一定力量，1.5分。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（2）斜线扣球评分：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① 落点在小斜线区内，有一定力量，3分；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② 落点在大斜线区内，有一定力量，2分</w:t>
      </w:r>
      <w:r>
        <w:rPr>
          <w:rFonts w:hint="eastAsia" w:cs="宋体" w:asciiTheme="minorEastAsia" w:hAnsiTheme="minorEastAsia"/>
          <w:sz w:val="24"/>
        </w:rPr>
        <w:t>；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③ 落点在场内其它区域，较有力度，1分。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（六）实战能力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1、测试方法：根据考生人数，将考生分为不同的组（队），分别进行六对六或四对四的比赛，对考生技术运用的合理性以及战术意识、比赛作风等方面进行综合评定。4对4比赛时，吊球需吊入对方限制线以后。男生要求后排进攻，女生要求远网进攻，其他规定同正式比赛相同。</w:t>
      </w:r>
    </w:p>
    <w:p>
      <w:pPr>
        <w:spacing w:line="360" w:lineRule="auto"/>
        <w:ind w:firstLine="57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2、成绩评定：由3—5名考评员根据评分标准，对考生技术运用的合理性以及战术意识（包括判断取位﹑接应﹑配合能力﹑击球方向和位置的选择）等方面进行综合评定，去掉最高分和最低分，取平均分为最后得分。满分为40分。成绩评定见表</w:t>
      </w:r>
      <w:r>
        <w:rPr>
          <w:rFonts w:hint="eastAsia" w:cs="宋体" w:asciiTheme="minorEastAsia" w:hAnsiTheme="minorEastAsia"/>
          <w:sz w:val="24"/>
        </w:rPr>
        <w:t>2</w:t>
      </w:r>
      <w:r>
        <w:rPr>
          <w:rFonts w:cs="宋体" w:asciiTheme="minorEastAsia" w:hAnsiTheme="minorEastAsia"/>
          <w:sz w:val="24"/>
        </w:rPr>
        <w:t>。</w:t>
      </w:r>
    </w:p>
    <w:p>
      <w:pPr>
        <w:spacing w:line="360" w:lineRule="auto"/>
        <w:ind w:firstLine="570"/>
        <w:jc w:val="center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表2</w:t>
      </w:r>
      <w:r>
        <w:rPr>
          <w:rFonts w:cs="宋体" w:asciiTheme="minorEastAsia" w:hAnsiTheme="minorEastAsia"/>
          <w:sz w:val="24"/>
        </w:rPr>
        <w:t>-</w:t>
      </w:r>
      <w:r>
        <w:rPr>
          <w:rFonts w:hint="eastAsia" w:cs="宋体" w:asciiTheme="minorEastAsia" w:hAnsiTheme="minorEastAsia"/>
          <w:sz w:val="24"/>
        </w:rPr>
        <w:t>实战能力评分表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591"/>
        <w:gridCol w:w="1592"/>
        <w:gridCol w:w="1592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jc w:val="right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15240</wp:posOffset>
                      </wp:positionV>
                      <wp:extent cx="928370" cy="749935"/>
                      <wp:effectExtent l="0" t="0" r="24130" b="3111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8370" cy="749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1.2pt;height:59.05pt;width:73.1pt;z-index:251663360;mso-width-relative:page;mso-height-relative:page;" filled="f" stroked="t" coordsize="21600,21600" o:gfxdata="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AvmbzW&#10;AAAACQEAAA8AAAAAAAAAAQAgAAAAIgAAAGRycy9kb3ducmV2LnhtbFBLAQIUABQAAAAIAIdO4kC9&#10;i6Uf6QEAALA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cs="宋体" w:asciiTheme="minorEastAsia" w:hAnsiTheme="minorEastAsia"/>
                <w:b/>
                <w:sz w:val="24"/>
              </w:rPr>
              <w:t>分值</w:t>
            </w:r>
          </w:p>
          <w:p>
            <w:pPr>
              <w:spacing w:before="156"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指标</w:t>
            </w:r>
          </w:p>
        </w:tc>
        <w:tc>
          <w:tcPr>
            <w:tcW w:w="15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优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40—34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良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33—27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中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26—21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差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20—0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技术运用</w:t>
            </w:r>
          </w:p>
        </w:tc>
        <w:tc>
          <w:tcPr>
            <w:tcW w:w="15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能合理地运用发﹑传﹑扣﹑垫﹑拦网各项技术，效果很好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能较合理地运用发﹑传﹑垫、扣﹑拦各项技术，效果较好。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技术运用基本合理，效果一般。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技术运用不合理，效果较差。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战术意识</w:t>
            </w:r>
          </w:p>
        </w:tc>
        <w:tc>
          <w:tcPr>
            <w:tcW w:w="15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战术意识很强，实战效果很好。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战术意识较强，实战效果较好。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战术意识一般，实战效果一般。</w:t>
            </w:r>
          </w:p>
        </w:tc>
        <w:tc>
          <w:tcPr>
            <w:tcW w:w="15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战术意识较差，实战效果较差。</w:t>
            </w:r>
          </w:p>
        </w:tc>
      </w:tr>
    </w:tbl>
    <w:p>
      <w:pPr>
        <w:spacing w:line="360" w:lineRule="auto"/>
        <w:ind w:firstLine="236" w:firstLineChars="98"/>
        <w:rPr>
          <w:rFonts w:cs="宋体" w:asciiTheme="minorEastAsia" w:hAnsiTheme="minorEastAsia"/>
          <w:b/>
          <w:sz w:val="24"/>
        </w:rPr>
      </w:pPr>
    </w:p>
    <w:p>
      <w:pPr>
        <w:spacing w:line="360" w:lineRule="auto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三</w:t>
      </w:r>
      <w:r>
        <w:rPr>
          <w:rFonts w:cs="宋体" w:asciiTheme="minorEastAsia" w:hAnsiTheme="minorEastAsia"/>
          <w:b/>
          <w:sz w:val="24"/>
        </w:rPr>
        <w:t>、</w:t>
      </w:r>
      <w:r>
        <w:rPr>
          <w:rFonts w:hint="eastAsia" w:cs="宋体" w:asciiTheme="minorEastAsia" w:hAnsiTheme="minorEastAsia"/>
          <w:b/>
          <w:sz w:val="24"/>
        </w:rPr>
        <w:t>排球</w:t>
      </w:r>
      <w:r>
        <w:rPr>
          <w:rFonts w:cs="宋体" w:asciiTheme="minorEastAsia" w:hAnsiTheme="minorEastAsia"/>
          <w:b/>
          <w:sz w:val="24"/>
        </w:rPr>
        <w:t>自由人测试</w:t>
      </w:r>
      <w:r>
        <w:rPr>
          <w:rFonts w:hint="eastAsia" w:cs="宋体" w:asciiTheme="minorEastAsia" w:hAnsiTheme="minorEastAsia"/>
          <w:b/>
          <w:sz w:val="24"/>
        </w:rPr>
        <w:t>内容</w:t>
      </w:r>
      <w:r>
        <w:rPr>
          <w:rFonts w:cs="黑体" w:asciiTheme="minorEastAsia" w:hAnsiTheme="minorEastAsia"/>
          <w:b/>
          <w:sz w:val="24"/>
        </w:rPr>
        <w:t>及标准</w:t>
      </w:r>
    </w:p>
    <w:p>
      <w:pPr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（一）</w:t>
      </w:r>
      <w:r>
        <w:rPr>
          <w:rFonts w:cs="宋体" w:asciiTheme="minorEastAsia" w:hAnsiTheme="minorEastAsia"/>
          <w:b/>
          <w:sz w:val="24"/>
        </w:rPr>
        <w:t>自由人测试</w:t>
      </w:r>
      <w:r>
        <w:rPr>
          <w:rFonts w:hint="eastAsia" w:cs="宋体" w:asciiTheme="minorEastAsia" w:hAnsiTheme="minorEastAsia"/>
          <w:b/>
          <w:sz w:val="24"/>
        </w:rPr>
        <w:t>指标</w:t>
      </w:r>
      <w:r>
        <w:rPr>
          <w:rFonts w:cs="宋体" w:asciiTheme="minorEastAsia" w:hAnsiTheme="minorEastAsia"/>
          <w:b/>
          <w:sz w:val="24"/>
        </w:rPr>
        <w:t>及所占比例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b/>
          <w:sz w:val="24"/>
        </w:rPr>
      </w:pPr>
      <w:r>
        <w:rPr>
          <w:rFonts w:cs="宋体" w:asciiTheme="minorEastAsia" w:hAnsiTheme="minorEastAsia"/>
          <w:sz w:val="24"/>
        </w:rPr>
        <w:t xml:space="preserve">1、6 × 16米移动    </w:t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 xml:space="preserve">  </w:t>
      </w:r>
      <w:r>
        <w:rPr>
          <w:rFonts w:cs="宋体" w:asciiTheme="minorEastAsia" w:hAnsiTheme="minorEastAsia"/>
          <w:sz w:val="24"/>
        </w:rPr>
        <w:tab/>
      </w:r>
      <w:r>
        <w:rPr>
          <w:rFonts w:hint="eastAsia" w:cs="宋体" w:asciiTheme="minorEastAsia" w:hAnsiTheme="minorEastAsia"/>
          <w:sz w:val="24"/>
        </w:rPr>
        <w:t xml:space="preserve"> </w:t>
      </w:r>
      <w:r>
        <w:rPr>
          <w:rFonts w:cs="宋体" w:asciiTheme="minorEastAsia" w:hAnsiTheme="minorEastAsia"/>
          <w:sz w:val="24"/>
        </w:rPr>
        <w:t xml:space="preserve"> （10分）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2、移动垫球                   （20分）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3、传球                       （10分）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4、单兵半场防守               （20分）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5、实战能力</w:t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ab/>
      </w:r>
      <w:r>
        <w:rPr>
          <w:rFonts w:cs="宋体" w:asciiTheme="minorEastAsia" w:hAnsiTheme="minorEastAsia"/>
          <w:sz w:val="24"/>
        </w:rPr>
        <w:t xml:space="preserve">         （40分）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（二）</w:t>
      </w:r>
      <w:r>
        <w:rPr>
          <w:rFonts w:cs="宋体" w:asciiTheme="minorEastAsia" w:hAnsiTheme="minorEastAsia"/>
          <w:b/>
          <w:sz w:val="24"/>
        </w:rPr>
        <w:t>测试方法与评分标准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1、</w:t>
      </w:r>
      <w:r>
        <w:rPr>
          <w:rFonts w:cs="宋体" w:asciiTheme="minorEastAsia" w:hAnsiTheme="minorEastAsia"/>
          <w:sz w:val="24"/>
        </w:rPr>
        <w:t>6 × 16</w:t>
      </w:r>
      <w:r>
        <w:rPr>
          <w:rFonts w:hint="eastAsia" w:cs="宋体" w:asciiTheme="minorEastAsia" w:hAnsiTheme="minorEastAsia"/>
          <w:sz w:val="24"/>
        </w:rPr>
        <w:t>米</w:t>
      </w:r>
      <w:r>
        <w:rPr>
          <w:rFonts w:cs="宋体" w:asciiTheme="minorEastAsia" w:hAnsiTheme="minorEastAsia"/>
          <w:sz w:val="24"/>
        </w:rPr>
        <w:t>移动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测试方法：在规定时间内，队员在六米宽的两条线上来回折返跑16次，计算最短时间。</w:t>
      </w:r>
    </w:p>
    <w:p>
      <w:pPr>
        <w:spacing w:line="360" w:lineRule="auto"/>
        <w:ind w:firstLine="42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成绩评定:根据移动速度快慢来评定分值</w:t>
      </w:r>
      <w:r>
        <w:rPr>
          <w:rFonts w:hint="eastAsia" w:cs="宋体" w:asciiTheme="minorEastAsia" w:hAnsiTheme="minorEastAsia"/>
          <w:sz w:val="24"/>
        </w:rPr>
        <w:t>，见表3</w:t>
      </w:r>
    </w:p>
    <w:p>
      <w:pPr>
        <w:spacing w:line="360" w:lineRule="auto"/>
        <w:jc w:val="center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表3</w:t>
      </w:r>
      <w:r>
        <w:rPr>
          <w:rFonts w:cs="宋体" w:asciiTheme="minorEastAsia" w:hAnsiTheme="minorEastAsia"/>
          <w:b/>
          <w:sz w:val="24"/>
        </w:rPr>
        <w:t>-6 × 16米移动成绩评分表（</w:t>
      </w:r>
      <w:r>
        <w:rPr>
          <w:rFonts w:cs="宋体" w:asciiTheme="minorEastAsia" w:hAnsiTheme="minorEastAsia"/>
          <w:sz w:val="24"/>
        </w:rPr>
        <w:t>单位：秒）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211"/>
        <w:gridCol w:w="2211"/>
        <w:gridCol w:w="1780"/>
      </w:tblGrid>
      <w:tr>
        <w:trPr>
          <w:trHeight w:val="377" w:hRule="atLeast"/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成绩（</w:t>
            </w:r>
            <w:r>
              <w:rPr>
                <w:rFonts w:hint="eastAsia" w:cs="宋体" w:asciiTheme="minorEastAsia" w:hAnsiTheme="minorEastAsia"/>
                <w:sz w:val="24"/>
              </w:rPr>
              <w:t>男</w:t>
            </w:r>
            <w:r>
              <w:rPr>
                <w:rFonts w:cs="宋体" w:asciiTheme="minorEastAsia" w:hAnsiTheme="minorEastAsia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分值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成绩（</w:t>
            </w:r>
            <w:r>
              <w:rPr>
                <w:rFonts w:hint="eastAsia" w:cs="宋体" w:asciiTheme="minorEastAsia" w:hAnsiTheme="minorEastAsia"/>
                <w:sz w:val="24"/>
              </w:rPr>
              <w:t>女</w:t>
            </w:r>
            <w:r>
              <w:rPr>
                <w:rFonts w:cs="宋体" w:asciiTheme="minorEastAsia" w:hAnsiTheme="minorEastAsia"/>
                <w:sz w:val="24"/>
              </w:rPr>
              <w:t>）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25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10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2</w:t>
            </w:r>
            <w:r>
              <w:rPr>
                <w:rFonts w:hint="eastAsia" w:cs="宋体" w:asciiTheme="minorEastAsia" w:hAnsiTheme="minorEastAsia"/>
                <w:sz w:val="24"/>
              </w:rPr>
              <w:t>8</w:t>
            </w:r>
            <w:r>
              <w:rPr>
                <w:rFonts w:cs="宋体" w:asciiTheme="minorEastAsia" w:hAnsiTheme="minorEastAsia"/>
                <w:sz w:val="24"/>
              </w:rPr>
              <w:t xml:space="preserve">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26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9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2</w:t>
            </w:r>
            <w:r>
              <w:rPr>
                <w:rFonts w:hint="eastAsia" w:cs="宋体" w:asciiTheme="minorEastAsia" w:hAnsiTheme="minorEastAsia"/>
                <w:sz w:val="24"/>
              </w:rPr>
              <w:t>9</w:t>
            </w:r>
            <w:r>
              <w:rPr>
                <w:rFonts w:cs="宋体" w:asciiTheme="minorEastAsia" w:hAnsiTheme="minorEastAsia"/>
                <w:sz w:val="24"/>
              </w:rPr>
              <w:t xml:space="preserve">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27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8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30</w:t>
            </w:r>
            <w:r>
              <w:rPr>
                <w:rFonts w:cs="宋体" w:asciiTheme="minorEastAsia" w:hAnsiTheme="minorEastAsia"/>
                <w:sz w:val="24"/>
              </w:rPr>
              <w:t xml:space="preserve">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28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7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31</w:t>
            </w:r>
            <w:r>
              <w:rPr>
                <w:rFonts w:cs="宋体"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29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6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32</w:t>
            </w:r>
            <w:r>
              <w:rPr>
                <w:rFonts w:cs="宋体"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30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5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</w:rPr>
              <w:t>3</w:t>
            </w:r>
            <w:r>
              <w:rPr>
                <w:rFonts w:cs="宋体"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31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4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</w:rPr>
              <w:t>4</w:t>
            </w:r>
            <w:r>
              <w:rPr>
                <w:rFonts w:cs="宋体"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32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</w:rPr>
              <w:t>5</w:t>
            </w:r>
            <w:r>
              <w:rPr>
                <w:rFonts w:cs="宋体"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33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2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</w:rPr>
              <w:t>6</w:t>
            </w:r>
            <w:r>
              <w:rPr>
                <w:rFonts w:cs="宋体"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 xml:space="preserve">34          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1</w:t>
            </w:r>
          </w:p>
        </w:tc>
        <w:tc>
          <w:tcPr>
            <w:tcW w:w="2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</w:rPr>
              <w:t>7</w:t>
            </w:r>
            <w:r>
              <w:rPr>
                <w:rFonts w:cs="宋体" w:asciiTheme="minorEastAsia" w:hAnsiTheme="minorEastAsia"/>
                <w:sz w:val="24"/>
              </w:rPr>
              <w:t xml:space="preserve">          </w:t>
            </w:r>
          </w:p>
        </w:tc>
        <w:tc>
          <w:tcPr>
            <w:tcW w:w="1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1</w:t>
            </w:r>
          </w:p>
        </w:tc>
      </w:tr>
    </w:tbl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2、</w:t>
      </w:r>
      <w:r>
        <w:rPr>
          <w:rFonts w:cs="宋体" w:asciiTheme="minorEastAsia" w:hAnsiTheme="minorEastAsia"/>
          <w:sz w:val="24"/>
        </w:rPr>
        <w:t>移动垫球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（1）</w:t>
      </w:r>
      <w:r>
        <w:rPr>
          <w:rFonts w:cs="宋体" w:asciiTheme="minorEastAsia" w:hAnsiTheme="minorEastAsia"/>
          <w:sz w:val="24"/>
        </w:rPr>
        <w:t>测试方法：考生一号位五号位左右移动垫球。由考官在对方下手发球。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（2）</w:t>
      </w:r>
      <w:r>
        <w:rPr>
          <w:rFonts w:cs="宋体" w:asciiTheme="minorEastAsia" w:hAnsiTheme="minorEastAsia"/>
          <w:sz w:val="24"/>
        </w:rPr>
        <w:t>成绩评定：一传到位可记分。考生垫五个一传每个球4分共10分。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3、</w:t>
      </w:r>
      <w:r>
        <w:rPr>
          <w:rFonts w:cs="宋体" w:asciiTheme="minorEastAsia" w:hAnsiTheme="minorEastAsia"/>
          <w:sz w:val="24"/>
        </w:rPr>
        <w:t>传球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①</w:t>
      </w:r>
      <w:r>
        <w:rPr>
          <w:rFonts w:cs="宋体" w:asciiTheme="minorEastAsia" w:hAnsiTheme="minorEastAsia"/>
          <w:sz w:val="24"/>
        </w:rPr>
        <w:t>测试方法：分为二传传球和攻手传球两种，测试方法不一样。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②</w:t>
      </w:r>
      <w:r>
        <w:rPr>
          <w:rFonts w:cs="宋体" w:asciiTheme="minorEastAsia" w:hAnsiTheme="minorEastAsia"/>
          <w:sz w:val="24"/>
        </w:rPr>
        <w:t>二传传球：从一号位插上到二号位跳传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③</w:t>
      </w:r>
      <w:r>
        <w:rPr>
          <w:rFonts w:cs="宋体" w:asciiTheme="minorEastAsia" w:hAnsiTheme="minorEastAsia"/>
          <w:sz w:val="24"/>
        </w:rPr>
        <w:t>攻手传球：站在后排六号调整传球到四号位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成绩评定：传球要求四号位高球进攻。考生传五个传球（二传每个4分共20分、攻手每个2分共10分）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4、</w:t>
      </w:r>
      <w:r>
        <w:rPr>
          <w:rFonts w:cs="宋体" w:asciiTheme="minorEastAsia" w:hAnsiTheme="minorEastAsia"/>
          <w:sz w:val="24"/>
        </w:rPr>
        <w:t>单兵防守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测试方法：队员在场地中，考官按照防守需要发球</w:t>
      </w:r>
      <w:r>
        <w:rPr>
          <w:rFonts w:hint="eastAsia" w:cs="宋体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成绩评定：移动迅速，起球效果、合理运用防守技术（滚翻、鱼跃）可计分。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5、</w:t>
      </w:r>
      <w:r>
        <w:rPr>
          <w:rFonts w:cs="宋体" w:asciiTheme="minorEastAsia" w:hAnsiTheme="minorEastAsia"/>
          <w:sz w:val="24"/>
        </w:rPr>
        <w:t>实战能力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测试方法</w:t>
      </w:r>
      <w:r>
        <w:rPr>
          <w:rFonts w:hint="eastAsia" w:cs="宋体" w:asciiTheme="minorEastAsia" w:hAnsiTheme="minorEastAsia"/>
          <w:sz w:val="24"/>
        </w:rPr>
        <w:t>与</w:t>
      </w:r>
      <w:r>
        <w:rPr>
          <w:rFonts w:cs="宋体" w:asciiTheme="minorEastAsia" w:hAnsiTheme="minorEastAsia"/>
          <w:sz w:val="24"/>
        </w:rPr>
        <w:t>成绩评定</w:t>
      </w:r>
      <w:r>
        <w:rPr>
          <w:rFonts w:hint="eastAsia" w:cs="宋体" w:asciiTheme="minorEastAsia" w:hAnsiTheme="minorEastAsia"/>
          <w:sz w:val="24"/>
        </w:rPr>
        <w:t>同</w:t>
      </w:r>
      <w:r>
        <w:rPr>
          <w:rFonts w:cs="宋体" w:asciiTheme="minorEastAsia" w:hAnsiTheme="minorEastAsia"/>
          <w:sz w:val="24"/>
        </w:rPr>
        <w:t>（六）：根据考生人数，将考生分为不同的组（队），分别进行六对六或四对四的比赛，对考生技术运用的合理性以及战术意识、比赛作风等方面进行综合评定。4对4比赛时，吊球需吊入对方限制线以后。男生要求后排进攻，女生要求远网进攻，其他规定同正式比赛相同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cs="宋体" w:asciiTheme="minorEastAsia" w:hAnsiTheme="minorEastAsia"/>
          <w:sz w:val="24"/>
        </w:rPr>
        <w:t>由3—5名考评员根据评分标准，对考生技术运用的合理性以及战术意识（包括判断取位﹑接应﹑配合能力﹑击球方向和位置的选择）等方面进行综合评定，去掉最高分和最低分，取平均分为最后得分。满分为40分。成绩评定见表</w:t>
      </w:r>
      <w:r>
        <w:rPr>
          <w:rFonts w:hint="eastAsia" w:cs="宋体" w:asciiTheme="minorEastAsia" w:hAnsiTheme="minorEastAsia"/>
          <w:sz w:val="24"/>
        </w:rPr>
        <w:t>4</w:t>
      </w:r>
      <w:r>
        <w:rPr>
          <w:rFonts w:cs="宋体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jc w:val="center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表4</w:t>
      </w:r>
      <w:r>
        <w:rPr>
          <w:rFonts w:cs="宋体" w:asciiTheme="minorEastAsia" w:hAnsiTheme="minorEastAsia"/>
          <w:sz w:val="24"/>
        </w:rPr>
        <w:t>-</w:t>
      </w:r>
      <w:r>
        <w:rPr>
          <w:rFonts w:hint="eastAsia" w:cs="宋体" w:asciiTheme="minorEastAsia" w:hAnsiTheme="minorEastAsia"/>
          <w:sz w:val="24"/>
        </w:rPr>
        <w:t>自由人实战能力评分表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768"/>
        <w:gridCol w:w="1926"/>
        <w:gridCol w:w="1875"/>
        <w:gridCol w:w="1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jc w:val="right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-18415</wp:posOffset>
                      </wp:positionV>
                      <wp:extent cx="786765" cy="796290"/>
                      <wp:effectExtent l="0" t="0" r="32385" b="2286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796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-1.45pt;height:62.7pt;width:61.95pt;z-index:251664384;mso-width-relative:page;mso-height-relative:page;" filled="f" stroked="t" coordsize="21600,21600" o:gfxdata="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Da&#10;jTbYAAAACQEAAA8AAAAAAAAAAQAgAAAAIgAAAGRycy9kb3ducmV2LnhtbFBLAQIUABQAAAAIAIdO&#10;4kDz+JUk6gEAALADAAAOAAAAAAAAAAEAIAAAACc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cs="宋体" w:asciiTheme="minorEastAsia" w:hAnsiTheme="minorEastAsia"/>
                <w:b/>
                <w:sz w:val="24"/>
              </w:rPr>
              <w:t>分值</w:t>
            </w:r>
          </w:p>
          <w:p>
            <w:pPr>
              <w:spacing w:before="156"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指标</w:t>
            </w:r>
          </w:p>
        </w:tc>
        <w:tc>
          <w:tcPr>
            <w:tcW w:w="17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优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40—34</w:t>
            </w:r>
          </w:p>
        </w:tc>
        <w:tc>
          <w:tcPr>
            <w:tcW w:w="19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良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33—27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中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26—21</w:t>
            </w:r>
          </w:p>
        </w:tc>
        <w:tc>
          <w:tcPr>
            <w:tcW w:w="15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差</w:t>
            </w:r>
          </w:p>
          <w:p>
            <w:pPr>
              <w:spacing w:line="30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20—0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技术运用</w:t>
            </w:r>
          </w:p>
        </w:tc>
        <w:tc>
          <w:tcPr>
            <w:tcW w:w="17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能合理地运用发﹑传﹑扣﹑垫﹑拦网各项技术，效果很好</w:t>
            </w:r>
          </w:p>
        </w:tc>
        <w:tc>
          <w:tcPr>
            <w:tcW w:w="19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能较合理地运用发﹑传﹑垫、扣﹑拦各项技术，效果较好。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技术运用基本合理，效果一般。</w:t>
            </w:r>
          </w:p>
        </w:tc>
        <w:tc>
          <w:tcPr>
            <w:tcW w:w="15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技术运用不合理，效果较差。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b/>
                <w:sz w:val="24"/>
              </w:rPr>
              <w:t>战术意识</w:t>
            </w:r>
          </w:p>
        </w:tc>
        <w:tc>
          <w:tcPr>
            <w:tcW w:w="17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战术意识很强，实战效果很好。</w:t>
            </w:r>
          </w:p>
        </w:tc>
        <w:tc>
          <w:tcPr>
            <w:tcW w:w="19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战术意识较强，实战效果较好。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战术意识一般，实战效果一般。</w:t>
            </w:r>
          </w:p>
        </w:tc>
        <w:tc>
          <w:tcPr>
            <w:tcW w:w="158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战术意识较差，实战效果较差。</w:t>
            </w:r>
          </w:p>
        </w:tc>
      </w:tr>
    </w:tbl>
    <w:p>
      <w:pPr>
        <w:rPr>
          <w:rFonts w:cs="Calibri" w:asciiTheme="minorEastAsia" w:hAnsiTheme="minorEastAsia"/>
          <w:sz w:val="24"/>
        </w:rPr>
      </w:pPr>
    </w:p>
    <w:p>
      <w:pPr>
        <w:rPr>
          <w:rFonts w:cs="Calibri" w:asciiTheme="minorEastAsia" w:hAnsiTheme="minorEastAsia"/>
          <w:sz w:val="24"/>
        </w:rPr>
      </w:pPr>
    </w:p>
    <w:p>
      <w:pPr>
        <w:rPr>
          <w:rFonts w:ascii="宋体" w:hAnsi="宋体" w:cs="Calibri"/>
        </w:rPr>
      </w:pPr>
    </w:p>
    <w:p>
      <w:pPr>
        <w:rPr>
          <w:rFonts w:ascii="宋体" w:hAnsi="宋体" w:cs="Calibri"/>
        </w:rPr>
      </w:pPr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西南交通大学</w:t>
      </w:r>
    </w:p>
    <w:p>
      <w:pPr>
        <w:adjustRightInd w:val="0"/>
        <w:snapToGrid w:val="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eastAsia="黑体"/>
          <w:sz w:val="36"/>
          <w:szCs w:val="36"/>
        </w:rPr>
        <w:t>20</w:t>
      </w:r>
      <w:r>
        <w:rPr>
          <w:rFonts w:eastAsia="黑体"/>
          <w:sz w:val="36"/>
          <w:szCs w:val="36"/>
        </w:rPr>
        <w:t>2</w:t>
      </w:r>
      <w:r>
        <w:rPr>
          <w:rFonts w:hint="eastAsia" w:eastAsia="黑体"/>
          <w:sz w:val="36"/>
          <w:szCs w:val="36"/>
        </w:rPr>
        <w:t>3年高水平运动队篮球测试内容及标准</w:t>
      </w: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一、测试指标及所占比例：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403"/>
        <w:gridCol w:w="161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6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   别</w:t>
            </w:r>
          </w:p>
        </w:tc>
        <w:tc>
          <w:tcPr>
            <w:tcW w:w="3403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   标</w:t>
            </w:r>
          </w:p>
        </w:tc>
        <w:tc>
          <w:tcPr>
            <w:tcW w:w="1611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所占比例</w:t>
            </w: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6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身体素质</w:t>
            </w:r>
          </w:p>
        </w:tc>
        <w:tc>
          <w:tcPr>
            <w:tcW w:w="3403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见线折返跑</w:t>
            </w:r>
          </w:p>
        </w:tc>
        <w:tc>
          <w:tcPr>
            <w:tcW w:w="1611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20％</w:t>
            </w:r>
          </w:p>
        </w:tc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基本技术</w:t>
            </w:r>
          </w:p>
        </w:tc>
        <w:tc>
          <w:tcPr>
            <w:tcW w:w="3403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往返运球上篮</w:t>
            </w:r>
          </w:p>
        </w:tc>
        <w:tc>
          <w:tcPr>
            <w:tcW w:w="1611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20％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投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篮</w:t>
            </w:r>
          </w:p>
        </w:tc>
        <w:tc>
          <w:tcPr>
            <w:tcW w:w="1611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20％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6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实战能力</w:t>
            </w:r>
          </w:p>
        </w:tc>
        <w:tc>
          <w:tcPr>
            <w:tcW w:w="340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全场5对5攻防能力</w:t>
            </w:r>
          </w:p>
        </w:tc>
        <w:tc>
          <w:tcPr>
            <w:tcW w:w="1611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40％</w:t>
            </w:r>
          </w:p>
        </w:tc>
        <w:tc>
          <w:tcPr>
            <w:tcW w:w="1491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6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100％</w:t>
            </w:r>
          </w:p>
        </w:tc>
        <w:tc>
          <w:tcPr>
            <w:tcW w:w="1491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100％</w:t>
            </w:r>
          </w:p>
        </w:tc>
      </w:tr>
    </w:tbl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二、测试方法与评分标准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（一）</w:t>
      </w:r>
      <w:r>
        <w:rPr>
          <w:rFonts w:hint="eastAsia"/>
          <w:b/>
          <w:bCs/>
          <w:sz w:val="24"/>
          <w:szCs w:val="24"/>
        </w:rPr>
        <w:t>身体素质测试</w:t>
      </w:r>
      <w:r>
        <w:rPr>
          <w:rFonts w:hint="eastAsia"/>
          <w:b/>
          <w:sz w:val="24"/>
          <w:szCs w:val="24"/>
        </w:rPr>
        <w:t>（见线折返跑20分）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）测试方法：测试者站在场地端线，听到指令后进行后场罚球线延长线、中线、前场罚球线延长线、前场端线折返跑，循环一次；脚触线为准(出发和终点除外)。否则每次扣得分1分；每人一次机会。（如图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所示）</w:t>
      </w:r>
    </w:p>
    <w:p>
      <w:pPr>
        <w:spacing w:line="360" w:lineRule="auto"/>
        <w:rPr>
          <w:szCs w:val="21"/>
        </w:rPr>
      </w:pPr>
      <w:r>
        <w:rPr>
          <w:szCs w:val="21"/>
        </w:rPr>
        <w:drawing>
          <wp:inline distT="0" distB="0" distL="0" distR="0">
            <wp:extent cx="5109845" cy="2738755"/>
            <wp:effectExtent l="19050" t="0" r="0" b="0"/>
            <wp:docPr id="1" name="图片 7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3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27387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</w:t>
      </w:r>
    </w:p>
    <w:p>
      <w:pPr>
        <w:spacing w:line="360" w:lineRule="auto"/>
        <w:ind w:firstLine="3780" w:firstLineChars="1800"/>
        <w:rPr>
          <w:szCs w:val="21"/>
        </w:rPr>
      </w:pPr>
      <w:r>
        <w:rPr>
          <w:rFonts w:hint="eastAsia"/>
          <w:szCs w:val="21"/>
        </w:rPr>
        <w:t>图</w:t>
      </w:r>
      <w:r>
        <w:rPr>
          <w:szCs w:val="21"/>
        </w:rPr>
        <w:t>2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（2）成绩评定见表5。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表5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见线折返跑分值表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76"/>
        <w:gridCol w:w="690"/>
        <w:gridCol w:w="690"/>
        <w:gridCol w:w="690"/>
        <w:gridCol w:w="690"/>
        <w:gridCol w:w="690"/>
        <w:gridCol w:w="690"/>
        <w:gridCol w:w="615"/>
        <w:gridCol w:w="690"/>
        <w:gridCol w:w="69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成绩（分值）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折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跑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男生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28”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28”5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29”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29”5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30”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30”5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31”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31”5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32”5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30”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30”5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31”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31”5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32”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32”5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33”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33”5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34”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34”5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成绩（分值）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折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跑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男生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33”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33”5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34”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34”5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35”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35”5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女生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35”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35”5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36”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</w:rPr>
              <w:t>36”5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37”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37”5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（二）基本技术</w:t>
      </w:r>
    </w:p>
    <w:p>
      <w:pPr>
        <w:spacing w:line="360" w:lineRule="auto"/>
        <w:ind w:firstLine="470" w:firstLineChars="196"/>
        <w:rPr>
          <w:sz w:val="24"/>
          <w:szCs w:val="24"/>
        </w:rPr>
      </w:pPr>
      <w:r>
        <w:rPr>
          <w:rFonts w:hint="eastAsia"/>
          <w:sz w:val="24"/>
          <w:szCs w:val="24"/>
        </w:rPr>
        <w:t>1、往返运球上篮（20分）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（1）测试方法（如图2所示）：受试者由球场左侧边线与中线交点处A开始，同时计时，面向球篮以右手运球上篮（右手投篮）。球投中篮后（不中篮需补中），仍以右手运球至右侧边线与中线交点B处，然后折转（不能持球转身），换左手运球上篮（左手投篮），投球中篮后（不中篮需补中），仍以左手运球回到原起点A处，重复上述过程一次，停表。每人两次测试机会，取最好一次记录成绩。</w:t>
      </w:r>
    </w:p>
    <w:p>
      <w:pPr>
        <w:spacing w:line="360" w:lineRule="auto"/>
        <w:ind w:firstLine="411" w:firstLineChars="196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3455670" cy="3222625"/>
            <wp:effectExtent l="19050" t="0" r="0" b="0"/>
            <wp:docPr id="2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32226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 图2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）成绩评定： </w:t>
      </w: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sz w:val="24"/>
          <w:szCs w:val="24"/>
        </w:rPr>
        <w:t>表6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往返运球上篮男子得分表</w:t>
      </w:r>
      <w:r>
        <w:rPr>
          <w:rFonts w:hint="eastAsia"/>
          <w:szCs w:val="21"/>
        </w:rPr>
        <w:t>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28”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28”5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29”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29”5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30”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30”5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31”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31”5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32”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32”5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14.5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14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13.5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13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12.5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12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11.5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11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33”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33”5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34”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34”5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35”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35”5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36”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36”5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37”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37”5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38”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38”5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39”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39”5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40”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40”5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41”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41”5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42”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42”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43”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>7-</w:t>
      </w:r>
      <w:r>
        <w:rPr>
          <w:rFonts w:hint="eastAsia"/>
          <w:sz w:val="24"/>
          <w:szCs w:val="24"/>
        </w:rPr>
        <w:t>往返运球上篮女子得分表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 值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17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往返运球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31”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31”5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32”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32”5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33”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33”5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34”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34”5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35”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35”5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 值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往返运球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36”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36”5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37”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37”5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38”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38”5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39”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39”5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40”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40”5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 值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8.5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7.5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往返运球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41”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41”5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42”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42”5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43”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43”5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44”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44”5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45”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45”5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 值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4.5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往返运球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46”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46”5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47”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11" w:firstLineChars="196"/>
        <w:rPr>
          <w:szCs w:val="21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2、投篮（20分）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）测试方法：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、后卫、前锋：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= 1 \* GB3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以篮圈垂直投影中心点为圆心，至罚球线的距离为半径画弧（2分球线）；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= 2 \* GB3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以篮圈垂直投影中心点为圆心，以6.75m为半径画弧（3 分球线）；如图3所示，受试者可任意选择在某弧线外投篮。受试者在弧线外开始投篮，同时开始计时，投篮后自己抢篮板球，再运球至弧线外投篮，连续投篮一分钟，投篮时受试者不得少于3次3 分球试投篮。每人两次测试机会，取最好一次记录成绩。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、中锋：在限制区的两个中立区和罚球线的圆心点上画60CM的区域作为评测点（A、B、C共3点），如图3：受试者可站任何一点背向球篮开始跳起投篮，同时开始计时，投篮后自己抢篮板球，再运球至评测点后（中枢脚落在限制区外）背向球篮做转身跳投，受试者在每个评测点投篮不得少于2次，连续投篮一分钟。每人两次测试机会，取最好一次记录成绩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要求：受试者必须跳投，跳投时双脚须离地，向上跳起后球方能出手。违例（两次运球，带球走，违反测试办法）一次扣一分。</w:t>
      </w: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3348355" cy="3124200"/>
            <wp:effectExtent l="19050" t="0" r="4445" b="0"/>
            <wp:docPr id="3" name="图片 9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4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3124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图3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（2）成绩评定：（男、女子）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21"/>
        <w:gridCol w:w="721"/>
        <w:gridCol w:w="720"/>
        <w:gridCol w:w="721"/>
        <w:gridCol w:w="721"/>
        <w:gridCol w:w="721"/>
        <w:gridCol w:w="720"/>
        <w:gridCol w:w="721"/>
        <w:gridCol w:w="642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成绩（分值）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投篮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7.5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6.5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5.5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4.5</w:t>
            </w:r>
          </w:p>
        </w:tc>
        <w:tc>
          <w:tcPr>
            <w:tcW w:w="6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成绩（分值）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投篮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2.5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1.5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b/>
          <w:szCs w:val="21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（三）实战能力</w:t>
      </w:r>
      <w:r>
        <w:rPr>
          <w:rFonts w:hint="eastAsia"/>
          <w:sz w:val="24"/>
          <w:szCs w:val="24"/>
        </w:rPr>
        <w:t>（40分）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全场五对五攻防能力考评（40分）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（1）测试方法：采用综合评分办法。按中锋、前锋、后卫三个不同位置各自的任务和应起的作用，以受试者所掌握的技术规格程度，技术运用效果，战术配合意识，实战能力和比赛作风等方面，进行综合评分。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（2）成绩评定标准（见表8）：</w:t>
      </w:r>
    </w:p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表8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篮球实战能力评分表</w:t>
      </w:r>
    </w:p>
    <w:tbl>
      <w:tblPr>
        <w:tblStyle w:val="10"/>
        <w:tblpPr w:leftFromText="180" w:rightFromText="180" w:vertAnchor="text" w:horzAnchor="page" w:tblpXSpec="center" w:tblpY="359"/>
        <w:tblOverlap w:val="never"/>
        <w:tblW w:w="7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70"/>
        <w:gridCol w:w="5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  <w:jc w:val="center"/>
        </w:trPr>
        <w:tc>
          <w:tcPr>
            <w:tcW w:w="1013" w:type="dxa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670" w:type="dxa"/>
          </w:tcPr>
          <w:p>
            <w:pPr>
              <w:ind w:firstLine="241" w:firstLineChars="10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指标</w:t>
            </w:r>
          </w:p>
        </w:tc>
        <w:tc>
          <w:tcPr>
            <w:tcW w:w="5196" w:type="dxa"/>
          </w:tcPr>
          <w:p>
            <w:pPr>
              <w:ind w:firstLine="1928" w:firstLineChars="80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13" w:type="dxa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技术运用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（15分）</w:t>
            </w:r>
          </w:p>
        </w:tc>
        <w:tc>
          <w:tcPr>
            <w:tcW w:w="5196" w:type="dxa"/>
          </w:tcPr>
          <w:p>
            <w:pPr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技术动作规范，攻防技术熟练，比赛中能够合理运用各种技术。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13" w:type="dxa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战术意识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（15分）</w:t>
            </w:r>
          </w:p>
        </w:tc>
        <w:tc>
          <w:tcPr>
            <w:tcW w:w="5196" w:type="dxa"/>
          </w:tcPr>
          <w:p>
            <w:pPr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攻防落位清晰，战术意识强，比赛视野宽，场上配合意识强。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3" w:type="dxa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比赛作风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（10分）</w:t>
            </w:r>
          </w:p>
        </w:tc>
        <w:tc>
          <w:tcPr>
            <w:tcW w:w="5196" w:type="dxa"/>
          </w:tcPr>
          <w:p>
            <w:pPr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比赛中，积极合作，攻防认真，作风顽强，有很好的协作能力。</w:t>
            </w: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pPr>
        <w:rPr>
          <w:szCs w:val="21"/>
        </w:rPr>
      </w:pPr>
    </w:p>
    <w:p>
      <w:pPr>
        <w:rPr>
          <w:rFonts w:ascii="宋体" w:hAnsi="宋体" w:cs="Calibri"/>
          <w:color w:val="FF0000"/>
        </w:rPr>
      </w:pPr>
    </w:p>
    <w:p>
      <w:pPr>
        <w:rPr>
          <w:rFonts w:ascii="宋体" w:hAnsi="宋体" w:cs="Calibri"/>
          <w:color w:val="FF0000"/>
        </w:rPr>
      </w:pPr>
    </w:p>
    <w:p>
      <w:pPr>
        <w:rPr>
          <w:rFonts w:ascii="宋体" w:hAnsi="宋体" w:cs="Calibri"/>
          <w:color w:val="FF0000"/>
        </w:rPr>
      </w:pPr>
    </w:p>
    <w:p>
      <w:pPr>
        <w:rPr>
          <w:rFonts w:ascii="宋体" w:hAnsi="宋体" w:cs="Calibri"/>
          <w:color w:val="FF0000"/>
        </w:rPr>
      </w:pPr>
    </w:p>
    <w:p>
      <w:pPr>
        <w:rPr>
          <w:rFonts w:ascii="宋体" w:hAnsi="宋体" w:cs="Calibri"/>
          <w:color w:val="FF0000"/>
        </w:rPr>
      </w:pPr>
    </w:p>
    <w:p>
      <w:pPr>
        <w:rPr>
          <w:rFonts w:ascii="宋体" w:hAnsi="宋体" w:cs="Calibri"/>
          <w:color w:val="FF0000"/>
        </w:rPr>
      </w:pPr>
    </w:p>
    <w:p>
      <w:pPr>
        <w:rPr>
          <w:rFonts w:ascii="宋体" w:hAnsi="宋体" w:cs="Calibri"/>
          <w:color w:val="FF0000"/>
        </w:rPr>
      </w:pPr>
    </w:p>
    <w:p>
      <w:pPr>
        <w:rPr>
          <w:rFonts w:ascii="宋体" w:hAnsi="宋体" w:cs="Calibri"/>
          <w:color w:val="FF0000"/>
        </w:rPr>
      </w:pPr>
    </w:p>
    <w:p>
      <w:pPr>
        <w:rPr>
          <w:rFonts w:ascii="宋体" w:hAnsi="宋体" w:cs="Calibri"/>
          <w:color w:val="FF0000"/>
        </w:rPr>
      </w:pPr>
    </w:p>
    <w:p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西南交通大学</w:t>
      </w:r>
    </w:p>
    <w:p>
      <w:pPr>
        <w:adjustRightInd w:val="0"/>
        <w:snapToGrid w:val="0"/>
        <w:jc w:val="center"/>
        <w:rPr>
          <w:rFonts w:ascii="Calibri" w:hAnsi="Calibri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2023年高水平运动队田径项目专项成绩录取标准</w:t>
      </w:r>
    </w:p>
    <w:tbl>
      <w:tblPr>
        <w:tblStyle w:val="10"/>
        <w:tblW w:w="4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185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ind w:firstLine="118" w:firstLineChars="49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B</w:t>
            </w:r>
            <w:r>
              <w:rPr>
                <w:rFonts w:hint="eastAsia" w:ascii="宋体" w:hAnsi="宋体" w:cs="宋体"/>
                <w:b/>
                <w:sz w:val="24"/>
              </w:rPr>
              <w:t>类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/>
                <w:b/>
                <w:sz w:val="24"/>
              </w:rPr>
              <w:t>C</w:t>
            </w:r>
            <w:r>
              <w:rPr>
                <w:rFonts w:hint="eastAsia" w:ascii="宋体" w:hAnsi="宋体" w:cs="Arial"/>
                <w:b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男子100米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不低于85分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男子200米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85分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男子400米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80分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男子800米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不低于80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不低于70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女子400米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不低于80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不低于70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女子800米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不低于75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不低于70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女子100米栏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75分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男子跳远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78分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ind w:firstLine="1325" w:firstLineChars="55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女子铁饼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74分</w:t>
            </w: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女子100米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女子200米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女子跳远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女子三级跳远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男子三级跳远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男子110米栏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男子1500米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不低于70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男子5000米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不低于70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女子1500米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不低于70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女子3000米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不低于70</w:t>
            </w:r>
            <w:r>
              <w:rPr>
                <w:rFonts w:hint="eastAsia" w:ascii="宋体" w:hAnsi="宋体" w:cs="Arial"/>
                <w:b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男子跳高</w:t>
            </w:r>
          </w:p>
        </w:tc>
        <w:tc>
          <w:tcPr>
            <w:tcW w:w="1226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155" w:type="pct"/>
            <w:vAlign w:val="center"/>
          </w:tcPr>
          <w:p>
            <w:pPr>
              <w:spacing w:after="83" w:line="115" w:lineRule="atLeast"/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不低于</w:t>
            </w:r>
            <w:r>
              <w:rPr>
                <w:rFonts w:hint="eastAsia" w:ascii="宋体" w:hAnsi="宋体" w:cs="Arial"/>
                <w:b/>
                <w:sz w:val="24"/>
              </w:rPr>
              <w:t>70分</w:t>
            </w:r>
          </w:p>
        </w:tc>
      </w:tr>
    </w:tbl>
    <w:p>
      <w:pPr>
        <w:widowControl/>
        <w:shd w:val="clear" w:color="auto" w:fill="FFFFFF"/>
        <w:ind w:right="1120"/>
        <w:rPr>
          <w:rFonts w:ascii="华文仿宋" w:hAnsi="华文仿宋" w:eastAsia="华文仿宋" w:cs="Arial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kern w:val="0"/>
          <w:sz w:val="28"/>
          <w:szCs w:val="28"/>
        </w:rPr>
        <w:t>注：执行国家体育总局科教司发布的《普通高等学校运动训练、武术与民族传统体育专业体育专项考试方法与评分标准（2</w:t>
      </w:r>
      <w:r>
        <w:rPr>
          <w:rFonts w:ascii="华文仿宋" w:hAnsi="华文仿宋" w:eastAsia="华文仿宋" w:cs="Arial"/>
          <w:kern w:val="0"/>
          <w:sz w:val="28"/>
          <w:szCs w:val="28"/>
        </w:rPr>
        <w:t>023</w:t>
      </w:r>
      <w:r>
        <w:rPr>
          <w:rFonts w:hint="eastAsia" w:ascii="华文仿宋" w:hAnsi="华文仿宋" w:eastAsia="华文仿宋" w:cs="Arial"/>
          <w:kern w:val="0"/>
          <w:sz w:val="28"/>
          <w:szCs w:val="28"/>
        </w:rPr>
        <w:t>版）》所规定的标准及高水平运动队招生同分排序规则。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573777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NDI4MTVjNmNmMWE5MTg1MjNhZWRjMjc5MTMwNDkifQ=="/>
  </w:docVars>
  <w:rsids>
    <w:rsidRoot w:val="00DD7F17"/>
    <w:rsid w:val="0003586C"/>
    <w:rsid w:val="00081AE6"/>
    <w:rsid w:val="0008684C"/>
    <w:rsid w:val="00096345"/>
    <w:rsid w:val="000C5D83"/>
    <w:rsid w:val="0013514F"/>
    <w:rsid w:val="00172A77"/>
    <w:rsid w:val="00175CA7"/>
    <w:rsid w:val="00181A07"/>
    <w:rsid w:val="001864EE"/>
    <w:rsid w:val="001A22D4"/>
    <w:rsid w:val="001A439E"/>
    <w:rsid w:val="001A48F5"/>
    <w:rsid w:val="001A4F50"/>
    <w:rsid w:val="001A7807"/>
    <w:rsid w:val="001C25C8"/>
    <w:rsid w:val="001D1092"/>
    <w:rsid w:val="001D47CB"/>
    <w:rsid w:val="001E1858"/>
    <w:rsid w:val="00253660"/>
    <w:rsid w:val="0025553D"/>
    <w:rsid w:val="002625D7"/>
    <w:rsid w:val="002C1811"/>
    <w:rsid w:val="002D0809"/>
    <w:rsid w:val="002D509C"/>
    <w:rsid w:val="002D762F"/>
    <w:rsid w:val="00305B1B"/>
    <w:rsid w:val="00314346"/>
    <w:rsid w:val="0031515F"/>
    <w:rsid w:val="00355798"/>
    <w:rsid w:val="00362FD0"/>
    <w:rsid w:val="00373599"/>
    <w:rsid w:val="00374C3F"/>
    <w:rsid w:val="003A10D2"/>
    <w:rsid w:val="003B14C4"/>
    <w:rsid w:val="003B3BF8"/>
    <w:rsid w:val="003C1A68"/>
    <w:rsid w:val="003C40EE"/>
    <w:rsid w:val="003D4467"/>
    <w:rsid w:val="003E6D0F"/>
    <w:rsid w:val="00401874"/>
    <w:rsid w:val="004214C3"/>
    <w:rsid w:val="0042524B"/>
    <w:rsid w:val="00434A77"/>
    <w:rsid w:val="00462C7B"/>
    <w:rsid w:val="00470784"/>
    <w:rsid w:val="004A3634"/>
    <w:rsid w:val="004B693F"/>
    <w:rsid w:val="004C0921"/>
    <w:rsid w:val="004C555E"/>
    <w:rsid w:val="005238A3"/>
    <w:rsid w:val="00552006"/>
    <w:rsid w:val="00586D8E"/>
    <w:rsid w:val="005A566E"/>
    <w:rsid w:val="005B11FE"/>
    <w:rsid w:val="005E041C"/>
    <w:rsid w:val="005E10E6"/>
    <w:rsid w:val="005F1272"/>
    <w:rsid w:val="005F675C"/>
    <w:rsid w:val="00616491"/>
    <w:rsid w:val="006213E1"/>
    <w:rsid w:val="00650D99"/>
    <w:rsid w:val="006B280D"/>
    <w:rsid w:val="006B3950"/>
    <w:rsid w:val="006B62D6"/>
    <w:rsid w:val="006D685E"/>
    <w:rsid w:val="006F713F"/>
    <w:rsid w:val="007058D0"/>
    <w:rsid w:val="00733DB0"/>
    <w:rsid w:val="00764DAE"/>
    <w:rsid w:val="007867C0"/>
    <w:rsid w:val="007A764C"/>
    <w:rsid w:val="007B2DB0"/>
    <w:rsid w:val="007B7799"/>
    <w:rsid w:val="007E5C99"/>
    <w:rsid w:val="007F5A2A"/>
    <w:rsid w:val="008025F3"/>
    <w:rsid w:val="00821B01"/>
    <w:rsid w:val="00881703"/>
    <w:rsid w:val="008874CE"/>
    <w:rsid w:val="008B5532"/>
    <w:rsid w:val="008C7B32"/>
    <w:rsid w:val="008D0494"/>
    <w:rsid w:val="008F1A33"/>
    <w:rsid w:val="00926062"/>
    <w:rsid w:val="00927655"/>
    <w:rsid w:val="00972676"/>
    <w:rsid w:val="00997EF0"/>
    <w:rsid w:val="009F3A2A"/>
    <w:rsid w:val="00A21DB1"/>
    <w:rsid w:val="00A32251"/>
    <w:rsid w:val="00A344D1"/>
    <w:rsid w:val="00A346B5"/>
    <w:rsid w:val="00A424E8"/>
    <w:rsid w:val="00A5104C"/>
    <w:rsid w:val="00AA21FA"/>
    <w:rsid w:val="00AB72E0"/>
    <w:rsid w:val="00AC796D"/>
    <w:rsid w:val="00AD3498"/>
    <w:rsid w:val="00B203EE"/>
    <w:rsid w:val="00B33BB1"/>
    <w:rsid w:val="00B348AF"/>
    <w:rsid w:val="00B37EBF"/>
    <w:rsid w:val="00B44BB2"/>
    <w:rsid w:val="00B45562"/>
    <w:rsid w:val="00B4635F"/>
    <w:rsid w:val="00B52A39"/>
    <w:rsid w:val="00B70521"/>
    <w:rsid w:val="00B70D5A"/>
    <w:rsid w:val="00BB0798"/>
    <w:rsid w:val="00BC7A5D"/>
    <w:rsid w:val="00BD2233"/>
    <w:rsid w:val="00BD243F"/>
    <w:rsid w:val="00BE5D87"/>
    <w:rsid w:val="00BE6884"/>
    <w:rsid w:val="00BF1BB6"/>
    <w:rsid w:val="00C102AD"/>
    <w:rsid w:val="00C508CA"/>
    <w:rsid w:val="00C539DA"/>
    <w:rsid w:val="00C97F26"/>
    <w:rsid w:val="00CA10D5"/>
    <w:rsid w:val="00CA73E4"/>
    <w:rsid w:val="00CD1B40"/>
    <w:rsid w:val="00CD4D79"/>
    <w:rsid w:val="00CF5D8E"/>
    <w:rsid w:val="00D14F3D"/>
    <w:rsid w:val="00D327BC"/>
    <w:rsid w:val="00D329C1"/>
    <w:rsid w:val="00D37CCA"/>
    <w:rsid w:val="00D90657"/>
    <w:rsid w:val="00D916E1"/>
    <w:rsid w:val="00D91EAF"/>
    <w:rsid w:val="00DD5A53"/>
    <w:rsid w:val="00DD7146"/>
    <w:rsid w:val="00DD7F17"/>
    <w:rsid w:val="00DF3A01"/>
    <w:rsid w:val="00E07AF2"/>
    <w:rsid w:val="00E14A10"/>
    <w:rsid w:val="00E172F8"/>
    <w:rsid w:val="00E20CF6"/>
    <w:rsid w:val="00E27314"/>
    <w:rsid w:val="00E27864"/>
    <w:rsid w:val="00E308D6"/>
    <w:rsid w:val="00E503A4"/>
    <w:rsid w:val="00E72867"/>
    <w:rsid w:val="00EA1016"/>
    <w:rsid w:val="00EB1EEA"/>
    <w:rsid w:val="00EC4176"/>
    <w:rsid w:val="00EE0F45"/>
    <w:rsid w:val="00F25C6D"/>
    <w:rsid w:val="00F4095F"/>
    <w:rsid w:val="00F61970"/>
    <w:rsid w:val="00F63697"/>
    <w:rsid w:val="00F833AC"/>
    <w:rsid w:val="00FA0E09"/>
    <w:rsid w:val="00FC5F52"/>
    <w:rsid w:val="00FD3ADB"/>
    <w:rsid w:val="00FE7E7E"/>
    <w:rsid w:val="0944544D"/>
    <w:rsid w:val="0A434541"/>
    <w:rsid w:val="19A5378C"/>
    <w:rsid w:val="1EDF443E"/>
    <w:rsid w:val="20A5048C"/>
    <w:rsid w:val="279F66B9"/>
    <w:rsid w:val="29065761"/>
    <w:rsid w:val="2B0D1E8D"/>
    <w:rsid w:val="329055E3"/>
    <w:rsid w:val="34014DB9"/>
    <w:rsid w:val="401F7D04"/>
    <w:rsid w:val="456E53FE"/>
    <w:rsid w:val="56FF71B2"/>
    <w:rsid w:val="601937CE"/>
    <w:rsid w:val="7604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line="460" w:lineRule="exact"/>
      <w:jc w:val="center"/>
      <w:outlineLvl w:val="0"/>
    </w:pPr>
    <w:rPr>
      <w:rFonts w:ascii="仿宋_GB2312" w:hAnsi="宋体" w:eastAsia="黑体" w:cs="Times New Roman"/>
      <w:sz w:val="36"/>
      <w:szCs w:val="20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qFormat/>
    <w:uiPriority w:val="0"/>
    <w:pPr>
      <w:jc w:val="left"/>
    </w:pPr>
    <w:rPr>
      <w:szCs w:val="24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7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333333"/>
      <w:u w:val="none"/>
    </w:rPr>
  </w:style>
  <w:style w:type="character" w:styleId="16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5"/>
    <w:qFormat/>
    <w:uiPriority w:val="99"/>
  </w:style>
  <w:style w:type="character" w:customStyle="1" w:styleId="20">
    <w:name w:val="标题 1 字符"/>
    <w:basedOn w:val="12"/>
    <w:link w:val="2"/>
    <w:qFormat/>
    <w:uiPriority w:val="9"/>
    <w:rPr>
      <w:rFonts w:ascii="仿宋_GB2312" w:hAnsi="宋体" w:eastAsia="黑体" w:cs="Times New Roman"/>
      <w:sz w:val="36"/>
      <w:szCs w:val="20"/>
    </w:rPr>
  </w:style>
  <w:style w:type="character" w:customStyle="1" w:styleId="21">
    <w:name w:val="标题 3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批注文字 字符"/>
    <w:link w:val="4"/>
    <w:qFormat/>
    <w:uiPriority w:val="0"/>
    <w:rPr>
      <w:szCs w:val="24"/>
    </w:rPr>
  </w:style>
  <w:style w:type="character" w:customStyle="1" w:styleId="25">
    <w:name w:val="批注文字 Char1"/>
    <w:basedOn w:val="12"/>
    <w:semiHidden/>
    <w:qFormat/>
    <w:uiPriority w:val="99"/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7">
    <w:name w:val="批注框文本 字符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apple-converted-space"/>
    <w:qFormat/>
    <w:uiPriority w:val="0"/>
  </w:style>
  <w:style w:type="paragraph" w:styleId="2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4156</Words>
  <Characters>4642</Characters>
  <Lines>81</Lines>
  <Paragraphs>22</Paragraphs>
  <TotalTime>9</TotalTime>
  <ScaleCrop>false</ScaleCrop>
  <LinksUpToDate>false</LinksUpToDate>
  <CharactersWithSpaces>5179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DELL</dc:creator>
  <cp:lastModifiedBy>郑艳兵</cp:lastModifiedBy>
  <dcterms:modified xsi:type="dcterms:W3CDTF">2023-01-15T02:33:48Z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5B58911722E2409F9F92BC892265D7AF</vt:lpwstr>
  </property>
</Properties>
</file>