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Style w:val="20"/>
          <w:rFonts w:hint="default" w:ascii="楷体_GB2312" w:eastAsia="楷体_GB2312"/>
          <w:spacing w:val="-10"/>
          <w:sz w:val="32"/>
          <w:szCs w:val="44"/>
        </w:rPr>
      </w:pPr>
      <w:bookmarkStart w:id="0" w:name="_GoBack"/>
      <w:bookmarkEnd w:id="0"/>
      <w:r>
        <w:rPr>
          <w:rStyle w:val="20"/>
          <w:rFonts w:hint="default" w:ascii="楷体_GB2312" w:eastAsia="楷体_GB2312"/>
          <w:spacing w:val="-10"/>
          <w:sz w:val="32"/>
          <w:szCs w:val="44"/>
        </w:rPr>
        <w:t>【军事科学院研究生招生单位巡展之二】</w:t>
      </w:r>
    </w:p>
    <w:p>
      <w:pPr>
        <w:spacing w:before="312" w:beforeLines="100" w:after="312" w:afterLines="100" w:line="580" w:lineRule="exact"/>
        <w:jc w:val="center"/>
        <w:rPr>
          <w:rFonts w:ascii="方正小标宋简体" w:eastAsia="方正小标宋简体"/>
          <w:sz w:val="48"/>
        </w:rPr>
      </w:pPr>
      <w:r>
        <w:rPr>
          <w:rFonts w:hint="eastAsia" w:ascii="方正小标宋简体" w:eastAsia="方正小标宋简体"/>
          <w:sz w:val="48"/>
        </w:rPr>
        <w:t>军事</w:t>
      </w:r>
      <w:r>
        <w:rPr>
          <w:rFonts w:ascii="方正小标宋简体" w:eastAsia="方正小标宋简体"/>
          <w:sz w:val="48"/>
        </w:rPr>
        <w:t>科学院</w:t>
      </w:r>
      <w:r>
        <w:rPr>
          <w:rFonts w:hint="eastAsia" w:ascii="方正小标宋简体" w:eastAsia="方正小标宋简体"/>
          <w:sz w:val="48"/>
        </w:rPr>
        <w:t>直属单位七简介</w:t>
      </w:r>
    </w:p>
    <w:p>
      <w:pPr>
        <w:widowControl/>
        <w:adjustRightInd w:val="0"/>
        <w:snapToGrid w:val="0"/>
        <w:jc w:val="center"/>
        <w:rPr>
          <w:rFonts w:ascii="仿宋_GB2312" w:eastAsia="仿宋_GB2312"/>
          <w:sz w:val="32"/>
          <w:szCs w:val="32"/>
        </w:rPr>
      </w:pPr>
      <w:r>
        <w:rPr>
          <w:rFonts w:hint="eastAsia" w:ascii="仿宋_GB2312" w:eastAsia="仿宋_GB2312"/>
          <w:sz w:val="32"/>
          <w:szCs w:val="32"/>
        </w:rPr>
        <w:drawing>
          <wp:inline distT="0" distB="0" distL="0" distR="0">
            <wp:extent cx="5451475" cy="3617595"/>
            <wp:effectExtent l="19050" t="0" r="0" b="0"/>
            <wp:docPr id="1" name="图片 1" descr="E:\2019工作\12 - 招生宣传\各单位上报材料\防化院招生宣传简介\防化\防化\配图\基本情况\主办公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2019工作\12 - 招生宣传\各单位上报材料\防化院招生宣传简介\防化\防化\配图\基本情况\主办公楼.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456462" cy="3621162"/>
                    </a:xfrm>
                    <a:prstGeom prst="rect">
                      <a:avLst/>
                    </a:prstGeom>
                    <a:noFill/>
                    <a:ln>
                      <a:noFill/>
                    </a:ln>
                  </pic:spPr>
                </pic:pic>
              </a:graphicData>
            </a:graphic>
          </wp:inline>
        </w:drawing>
      </w:r>
    </w:p>
    <w:p>
      <w:pPr>
        <w:widowControl/>
        <w:adjustRightInd w:val="0"/>
        <w:snapToGrid w:val="0"/>
        <w:spacing w:line="579" w:lineRule="exact"/>
        <w:ind w:firstLine="640" w:firstLineChars="200"/>
        <w:rPr>
          <w:rFonts w:ascii="仿宋_GB2312" w:eastAsia="仿宋_GB2312"/>
          <w:sz w:val="32"/>
        </w:rPr>
      </w:pPr>
      <w:r>
        <w:rPr>
          <w:rFonts w:hint="eastAsia" w:ascii="仿宋_GB2312" w:eastAsia="仿宋_GB2312"/>
          <w:sz w:val="32"/>
          <w:szCs w:val="32"/>
        </w:rPr>
        <w:t>直属单位七创建于1954年10月，2017年6月转隶军事科学院。直属单位七是核生化防护装备与技术综合性科研机构，</w:t>
      </w:r>
      <w:r>
        <w:rPr>
          <w:rFonts w:hint="eastAsia" w:ascii="仿宋_GB2312" w:eastAsia="仿宋_GB2312"/>
          <w:sz w:val="32"/>
        </w:rPr>
        <w:t>主要承担核生化防护领域的基础理论和技术研究，以及化武履约、核生化安保与应急救援</w:t>
      </w:r>
      <w:r>
        <w:rPr>
          <w:rFonts w:hint="eastAsia" w:ascii="仿宋_GB2312" w:eastAsia="仿宋_GB2312"/>
          <w:sz w:val="32"/>
          <w:szCs w:val="32"/>
        </w:rPr>
        <w:t>等任务</w:t>
      </w:r>
      <w:r>
        <w:rPr>
          <w:rFonts w:hint="eastAsia" w:ascii="仿宋_GB2312" w:eastAsia="仿宋_GB2312"/>
          <w:sz w:val="32"/>
        </w:rPr>
        <w:t>，</w:t>
      </w:r>
      <w:r>
        <w:rPr>
          <w:rFonts w:hint="eastAsia" w:ascii="仿宋_GB2312" w:eastAsia="仿宋_GB2312"/>
          <w:sz w:val="32"/>
          <w:szCs w:val="32"/>
        </w:rPr>
        <w:t>科研布局涉及化学、物理学、生物学、环境科学与工程、材料科学与工程、化学工程与技术、信息与通信工程、军事装备学等领域。</w:t>
      </w:r>
    </w:p>
    <w:p>
      <w:pPr>
        <w:widowControl/>
        <w:adjustRightInd w:val="0"/>
        <w:snapToGrid w:val="0"/>
        <w:spacing w:after="312" w:afterLines="100" w:line="579" w:lineRule="exact"/>
        <w:ind w:firstLine="640" w:firstLineChars="200"/>
        <w:rPr>
          <w:rFonts w:ascii="仿宋_GB2312" w:eastAsia="仿宋_GB2312"/>
          <w:sz w:val="32"/>
          <w:szCs w:val="32"/>
        </w:rPr>
      </w:pPr>
      <w:r>
        <w:rPr>
          <w:rFonts w:hint="eastAsia" w:ascii="仿宋_GB2312" w:eastAsia="仿宋_GB2312"/>
          <w:sz w:val="32"/>
          <w:szCs w:val="32"/>
        </w:rPr>
        <w:t>直属单位七现为军事</w:t>
      </w:r>
      <w:r>
        <w:rPr>
          <w:rFonts w:ascii="仿宋_GB2312" w:eastAsia="仿宋_GB2312"/>
          <w:sz w:val="32"/>
          <w:szCs w:val="32"/>
        </w:rPr>
        <w:t>科学院</w:t>
      </w:r>
      <w:r>
        <w:rPr>
          <w:rFonts w:hint="eastAsia" w:ascii="仿宋_GB2312" w:eastAsia="仿宋_GB2312"/>
          <w:sz w:val="32"/>
          <w:szCs w:val="32"/>
        </w:rPr>
        <w:t>兵器科学与技术、核科学与技术2个博士学位授权</w:t>
      </w:r>
      <w:r>
        <w:rPr>
          <w:rFonts w:ascii="仿宋_GB2312" w:eastAsia="仿宋_GB2312"/>
          <w:sz w:val="32"/>
          <w:szCs w:val="32"/>
        </w:rPr>
        <w:t>一级学科</w:t>
      </w:r>
      <w:r>
        <w:rPr>
          <w:rFonts w:hint="eastAsia" w:ascii="仿宋_GB2312" w:eastAsia="仿宋_GB2312"/>
          <w:sz w:val="32"/>
          <w:szCs w:val="32"/>
        </w:rPr>
        <w:t>牵头</w:t>
      </w:r>
      <w:r>
        <w:rPr>
          <w:rFonts w:ascii="仿宋_GB2312" w:eastAsia="仿宋_GB2312"/>
          <w:sz w:val="32"/>
          <w:szCs w:val="32"/>
        </w:rPr>
        <w:t>建设单位，</w:t>
      </w:r>
      <w:r>
        <w:rPr>
          <w:rFonts w:hint="eastAsia" w:ascii="仿宋_GB2312" w:eastAsia="仿宋_GB2312"/>
          <w:sz w:val="32"/>
          <w:szCs w:val="32"/>
        </w:rPr>
        <w:t>研究生招生</w:t>
      </w:r>
      <w:r>
        <w:rPr>
          <w:rFonts w:ascii="仿宋_GB2312" w:eastAsia="仿宋_GB2312"/>
          <w:sz w:val="32"/>
          <w:szCs w:val="32"/>
        </w:rPr>
        <w:t>专业涵盖</w:t>
      </w:r>
      <w:r>
        <w:rPr>
          <w:rFonts w:hint="eastAsia" w:ascii="仿宋_GB2312" w:eastAsia="仿宋_GB2312"/>
          <w:sz w:val="32"/>
          <w:szCs w:val="32"/>
        </w:rPr>
        <w:t>核技术及应用、辐射防护及环境保护、军事化学与烟火技术、</w:t>
      </w:r>
      <w:r>
        <w:rPr>
          <w:rFonts w:ascii="仿宋_GB2312" w:eastAsia="仿宋_GB2312"/>
          <w:sz w:val="32"/>
          <w:szCs w:val="32"/>
        </w:rPr>
        <w:t>药</w:t>
      </w:r>
      <w:r>
        <w:rPr>
          <w:rFonts w:hint="eastAsia" w:ascii="仿宋_GB2312" w:eastAsia="仿宋_GB2312"/>
          <w:sz w:val="32"/>
          <w:szCs w:val="32"/>
        </w:rPr>
        <w:t>理学、情报学等5个二级</w:t>
      </w:r>
      <w:r>
        <w:rPr>
          <w:rFonts w:ascii="仿宋_GB2312" w:eastAsia="仿宋_GB2312"/>
          <w:sz w:val="32"/>
          <w:szCs w:val="32"/>
        </w:rPr>
        <w:t>学科</w:t>
      </w:r>
      <w:r>
        <w:rPr>
          <w:rFonts w:hint="eastAsia" w:ascii="仿宋_GB2312" w:eastAsia="仿宋_GB2312"/>
          <w:sz w:val="32"/>
          <w:szCs w:val="32"/>
        </w:rPr>
        <w:t>，并设有</w:t>
      </w:r>
      <w:r>
        <w:rPr>
          <w:rFonts w:ascii="仿宋_GB2312" w:eastAsia="仿宋_GB2312"/>
          <w:sz w:val="32"/>
          <w:szCs w:val="32"/>
        </w:rPr>
        <w:t>兵器科学与技术、核科学与技术2个博士后科研流动站</w:t>
      </w:r>
      <w:r>
        <w:rPr>
          <w:rFonts w:hint="eastAsia" w:ascii="仿宋_GB2312" w:eastAsia="仿宋_GB2312"/>
          <w:sz w:val="32"/>
          <w:szCs w:val="32"/>
        </w:rPr>
        <w:t>。</w:t>
      </w:r>
    </w:p>
    <w:tbl>
      <w:tblPr>
        <w:tblStyle w:val="11"/>
        <w:tblW w:w="943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52"/>
        <w:gridCol w:w="46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752" w:type="dxa"/>
          </w:tcPr>
          <w:p>
            <w:pPr>
              <w:widowControl/>
              <w:adjustRightInd w:val="0"/>
              <w:snapToGrid w:val="0"/>
              <w:jc w:val="center"/>
              <w:rPr>
                <w:rFonts w:ascii="黑体" w:hAnsi="黑体" w:eastAsia="黑体" w:cs="黑体"/>
                <w:sz w:val="32"/>
                <w:szCs w:val="32"/>
              </w:rPr>
            </w:pPr>
            <w:r>
              <w:rPr>
                <w:rFonts w:ascii="黑体" w:hAnsi="黑体" w:eastAsia="黑体" w:cs="黑体"/>
                <w:sz w:val="32"/>
                <w:szCs w:val="32"/>
              </w:rPr>
              <w:drawing>
                <wp:inline distT="0" distB="0" distL="0" distR="0">
                  <wp:extent cx="2692400" cy="1803400"/>
                  <wp:effectExtent l="0" t="0" r="0" b="0"/>
                  <wp:docPr id="73" name="图片 73" descr="E:\2019工作\12 - 招生宣传\各单位上报材料\防化院招生宣传简介\防化\防化\配图\科研平台\禁化武组织制定实验室.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E:\2019工作\12 - 招生宣传\各单位上报材料\防化院招生宣传简介\防化\防化\配图\科研平台\禁化武组织制定实验室.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690875" cy="1802378"/>
                          </a:xfrm>
                          <a:prstGeom prst="rect">
                            <a:avLst/>
                          </a:prstGeom>
                          <a:noFill/>
                          <a:ln>
                            <a:noFill/>
                          </a:ln>
                        </pic:spPr>
                      </pic:pic>
                    </a:graphicData>
                  </a:graphic>
                </wp:inline>
              </w:drawing>
            </w:r>
          </w:p>
          <w:p>
            <w:pPr>
              <w:widowControl/>
              <w:adjustRightInd w:val="0"/>
              <w:snapToGrid w:val="0"/>
              <w:jc w:val="center"/>
              <w:rPr>
                <w:rFonts w:ascii="黑体" w:hAnsi="黑体" w:eastAsia="黑体" w:cs="黑体"/>
                <w:sz w:val="32"/>
                <w:szCs w:val="32"/>
              </w:rPr>
            </w:pPr>
            <w:r>
              <w:rPr>
                <w:rFonts w:ascii="宋体" w:hAnsi="宋体" w:cs="黑体"/>
                <w:sz w:val="24"/>
                <w:szCs w:val="32"/>
              </w:rPr>
              <w:t>OPCW</w:t>
            </w:r>
            <w:r>
              <w:rPr>
                <w:rFonts w:hint="eastAsia" w:ascii="宋体" w:hAnsi="宋体" w:cs="黑体"/>
                <w:sz w:val="24"/>
                <w:szCs w:val="32"/>
              </w:rPr>
              <w:t>指定</w:t>
            </w:r>
            <w:r>
              <w:rPr>
                <w:rFonts w:ascii="宋体" w:hAnsi="宋体" w:cs="黑体"/>
                <w:sz w:val="24"/>
                <w:szCs w:val="32"/>
              </w:rPr>
              <w:t>实验室</w:t>
            </w:r>
          </w:p>
          <w:p>
            <w:pPr>
              <w:widowControl/>
              <w:adjustRightInd w:val="0"/>
              <w:snapToGrid w:val="0"/>
              <w:jc w:val="center"/>
              <w:rPr>
                <w:rFonts w:ascii="宋体" w:hAnsi="宋体" w:cs="黑体"/>
                <w:sz w:val="32"/>
                <w:szCs w:val="32"/>
              </w:rPr>
            </w:pPr>
          </w:p>
        </w:tc>
        <w:tc>
          <w:tcPr>
            <w:tcW w:w="4685" w:type="dxa"/>
          </w:tcPr>
          <w:p>
            <w:pPr>
              <w:widowControl/>
              <w:adjustRightInd w:val="0"/>
              <w:snapToGrid w:val="0"/>
              <w:jc w:val="center"/>
              <w:rPr>
                <w:rFonts w:ascii="黑体" w:hAnsi="黑体" w:eastAsia="黑体" w:cs="黑体"/>
                <w:sz w:val="32"/>
                <w:szCs w:val="32"/>
              </w:rPr>
            </w:pPr>
            <w:r>
              <w:rPr>
                <w:rFonts w:ascii="黑体" w:hAnsi="黑体" w:eastAsia="黑体" w:cs="黑体"/>
                <w:sz w:val="32"/>
                <w:szCs w:val="32"/>
              </w:rPr>
              <w:drawing>
                <wp:inline distT="0" distB="0" distL="0" distR="0">
                  <wp:extent cx="2425700" cy="1803400"/>
                  <wp:effectExtent l="0" t="0" r="0" b="0"/>
                  <wp:docPr id="127" name="图片 127" descr="E:\2019工作\12 - 招生宣传\各单位上报材料\防化院招生宣传简介\防化\防化\配图\科研平台\国民核生化灾害防护重点实验室.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E:\2019工作\12 - 招生宣传\各单位上报材料\防化院招生宣传简介\防化\防化\配图\科研平台\国民核生化灾害防护重点实验室.png"/>
                          <pic:cNvPicPr>
                            <a:picLocks noChangeAspect="1" noChangeArrowheads="1"/>
                          </pic:cNvPicPr>
                        </pic:nvPicPr>
                        <pic:blipFill>
                          <a:blip r:embed="rId9" cstate="print">
                            <a:extLst>
                              <a:ext uri="{28A0092B-C50C-407E-A947-70E740481C1C}">
                                <a14:useLocalDpi xmlns:a14="http://schemas.microsoft.com/office/drawing/2010/main" val="0"/>
                              </a:ext>
                            </a:extLst>
                          </a:blip>
                          <a:srcRect l="16223" t="9964" r="4521" b="11388"/>
                          <a:stretch>
                            <a:fillRect/>
                          </a:stretch>
                        </pic:blipFill>
                        <pic:spPr>
                          <a:xfrm>
                            <a:off x="0" y="0"/>
                            <a:ext cx="2425700" cy="1803400"/>
                          </a:xfrm>
                          <a:prstGeom prst="rect">
                            <a:avLst/>
                          </a:prstGeom>
                          <a:noFill/>
                          <a:ln>
                            <a:noFill/>
                          </a:ln>
                        </pic:spPr>
                      </pic:pic>
                    </a:graphicData>
                  </a:graphic>
                </wp:inline>
              </w:drawing>
            </w:r>
          </w:p>
          <w:p>
            <w:pPr>
              <w:widowControl/>
              <w:adjustRightInd w:val="0"/>
              <w:snapToGrid w:val="0"/>
              <w:jc w:val="center"/>
              <w:rPr>
                <w:rFonts w:ascii="黑体" w:hAnsi="黑体" w:eastAsia="黑体" w:cs="黑体"/>
                <w:sz w:val="32"/>
                <w:szCs w:val="32"/>
              </w:rPr>
            </w:pPr>
            <w:r>
              <w:rPr>
                <w:rFonts w:hint="eastAsia" w:ascii="宋体" w:hAnsi="宋体" w:cs="黑体"/>
                <w:sz w:val="24"/>
                <w:szCs w:val="32"/>
              </w:rPr>
              <w:t>国民</w:t>
            </w:r>
            <w:r>
              <w:rPr>
                <w:rFonts w:ascii="宋体" w:hAnsi="宋体" w:cs="黑体"/>
                <w:sz w:val="24"/>
                <w:szCs w:val="32"/>
              </w:rPr>
              <w:t>核生化灾害防护国家重点实验室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752" w:type="dxa"/>
          </w:tcPr>
          <w:p>
            <w:pPr>
              <w:widowControl/>
              <w:adjustRightInd w:val="0"/>
              <w:snapToGrid w:val="0"/>
              <w:jc w:val="center"/>
              <w:rPr>
                <w:rFonts w:ascii="黑体" w:hAnsi="黑体" w:eastAsia="黑体" w:cs="黑体"/>
                <w:sz w:val="32"/>
                <w:szCs w:val="32"/>
              </w:rPr>
            </w:pPr>
            <w:r>
              <w:rPr>
                <w:rFonts w:ascii="黑体" w:hAnsi="黑体" w:eastAsia="黑体" w:cs="黑体"/>
                <w:sz w:val="32"/>
                <w:szCs w:val="32"/>
              </w:rPr>
              <w:drawing>
                <wp:inline distT="0" distB="0" distL="0" distR="0">
                  <wp:extent cx="2584450" cy="1803400"/>
                  <wp:effectExtent l="0" t="0" r="0" b="0"/>
                  <wp:docPr id="114" name="图片 114" descr="E:\2019工作\12 - 招生宣传\各单位上报材料\防化院招生宣传简介\防化\防化\配图\科研平台\防化装备评价试验中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E:\2019工作\12 - 招生宣传\各单位上报材料\防化院招生宣传简介\防化\防化\配图\科研平台\防化装备评价试验中心.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84450" cy="1803400"/>
                          </a:xfrm>
                          <a:prstGeom prst="rect">
                            <a:avLst/>
                          </a:prstGeom>
                          <a:noFill/>
                          <a:ln>
                            <a:noFill/>
                          </a:ln>
                        </pic:spPr>
                      </pic:pic>
                    </a:graphicData>
                  </a:graphic>
                </wp:inline>
              </w:drawing>
            </w:r>
          </w:p>
          <w:p>
            <w:pPr>
              <w:widowControl/>
              <w:adjustRightInd w:val="0"/>
              <w:snapToGrid w:val="0"/>
              <w:jc w:val="center"/>
              <w:rPr>
                <w:rFonts w:ascii="黑体" w:hAnsi="黑体" w:eastAsia="黑体" w:cs="黑体"/>
                <w:sz w:val="32"/>
                <w:szCs w:val="32"/>
              </w:rPr>
            </w:pPr>
            <w:r>
              <w:rPr>
                <w:rFonts w:hint="eastAsia" w:ascii="宋体" w:hAnsi="宋体" w:cs="黑体"/>
                <w:sz w:val="24"/>
                <w:szCs w:val="32"/>
              </w:rPr>
              <w:t>防化装备</w:t>
            </w:r>
            <w:r>
              <w:rPr>
                <w:rFonts w:ascii="宋体" w:hAnsi="宋体" w:cs="黑体"/>
                <w:sz w:val="24"/>
                <w:szCs w:val="32"/>
              </w:rPr>
              <w:t>评价试验中心</w:t>
            </w:r>
          </w:p>
        </w:tc>
        <w:tc>
          <w:tcPr>
            <w:tcW w:w="4685" w:type="dxa"/>
          </w:tcPr>
          <w:p>
            <w:pPr>
              <w:widowControl/>
              <w:adjustRightInd w:val="0"/>
              <w:snapToGrid w:val="0"/>
              <w:jc w:val="center"/>
              <w:rPr>
                <w:rFonts w:ascii="宋体" w:hAnsi="宋体" w:cs="黑体"/>
                <w:sz w:val="24"/>
                <w:szCs w:val="32"/>
              </w:rPr>
            </w:pPr>
            <w:r>
              <w:rPr>
                <w:rFonts w:ascii="宋体" w:hAnsi="宋体" w:cs="黑体"/>
                <w:sz w:val="24"/>
                <w:szCs w:val="32"/>
              </w:rPr>
              <w:drawing>
                <wp:inline distT="0" distB="0" distL="0" distR="0">
                  <wp:extent cx="2565400" cy="1803400"/>
                  <wp:effectExtent l="0" t="0" r="0" b="0"/>
                  <wp:docPr id="136" name="图片 136" descr="E:\2019工作\12 - 招生宣传\各单位上报材料\防化院招生宣传简介\防化\防化\配图\科研平台\军用电池试验检测中心.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descr="E:\2019工作\12 - 招生宣传\各单位上报材料\防化院招生宣传简介\防化\防化\配图\科研平台\军用电池试验检测中心.png"/>
                          <pic:cNvPicPr>
                            <a:picLocks noChangeAspect="1" noChangeArrowheads="1"/>
                          </pic:cNvPicPr>
                        </pic:nvPicPr>
                        <pic:blipFill>
                          <a:blip r:embed="rId11" cstate="print">
                            <a:extLst>
                              <a:ext uri="{28A0092B-C50C-407E-A947-70E740481C1C}">
                                <a14:useLocalDpi xmlns:a14="http://schemas.microsoft.com/office/drawing/2010/main" val="0"/>
                              </a:ext>
                            </a:extLst>
                          </a:blip>
                          <a:srcRect b="5022"/>
                          <a:stretch>
                            <a:fillRect/>
                          </a:stretch>
                        </pic:blipFill>
                        <pic:spPr>
                          <a:xfrm>
                            <a:off x="0" y="0"/>
                            <a:ext cx="2565400" cy="1803400"/>
                          </a:xfrm>
                          <a:prstGeom prst="rect">
                            <a:avLst/>
                          </a:prstGeom>
                          <a:noFill/>
                          <a:ln>
                            <a:noFill/>
                          </a:ln>
                        </pic:spPr>
                      </pic:pic>
                    </a:graphicData>
                  </a:graphic>
                </wp:inline>
              </w:drawing>
            </w:r>
          </w:p>
          <w:p>
            <w:pPr>
              <w:widowControl/>
              <w:adjustRightInd w:val="0"/>
              <w:snapToGrid w:val="0"/>
              <w:jc w:val="center"/>
              <w:rPr>
                <w:rFonts w:ascii="黑体" w:hAnsi="黑体" w:eastAsia="黑体" w:cs="黑体"/>
                <w:sz w:val="32"/>
                <w:szCs w:val="32"/>
              </w:rPr>
            </w:pPr>
            <w:r>
              <w:rPr>
                <w:rFonts w:hint="eastAsia" w:ascii="宋体" w:hAnsi="宋体" w:cs="黑体"/>
                <w:sz w:val="24"/>
                <w:szCs w:val="32"/>
              </w:rPr>
              <w:t>军用电池</w:t>
            </w:r>
            <w:r>
              <w:rPr>
                <w:rFonts w:ascii="宋体" w:hAnsi="宋体" w:cs="黑体"/>
                <w:sz w:val="24"/>
                <w:szCs w:val="32"/>
              </w:rPr>
              <w:t>试验</w:t>
            </w:r>
            <w:r>
              <w:rPr>
                <w:rFonts w:hint="eastAsia" w:ascii="宋体" w:hAnsi="宋体" w:cs="黑体"/>
                <w:sz w:val="24"/>
                <w:szCs w:val="32"/>
              </w:rPr>
              <w:t>检测</w:t>
            </w:r>
            <w:r>
              <w:rPr>
                <w:rFonts w:ascii="宋体" w:hAnsi="宋体" w:cs="黑体"/>
                <w:sz w:val="24"/>
                <w:szCs w:val="32"/>
              </w:rPr>
              <w:t>中心</w:t>
            </w:r>
          </w:p>
        </w:tc>
      </w:tr>
    </w:tbl>
    <w:p>
      <w:pPr>
        <w:widowControl/>
        <w:adjustRightInd w:val="0"/>
        <w:snapToGrid w:val="0"/>
        <w:spacing w:before="312" w:beforeLines="100" w:line="579" w:lineRule="exact"/>
        <w:ind w:firstLine="640" w:firstLineChars="200"/>
        <w:rPr>
          <w:rFonts w:ascii="仿宋_GB2312" w:eastAsia="仿宋_GB2312"/>
          <w:sz w:val="32"/>
          <w:szCs w:val="32"/>
        </w:rPr>
      </w:pPr>
      <w:r>
        <w:rPr>
          <w:rFonts w:hint="eastAsia" w:ascii="仿宋_GB2312" w:eastAsia="仿宋_GB2312"/>
          <w:sz w:val="32"/>
          <w:szCs w:val="32"/>
        </w:rPr>
        <w:t>直属单位七拥有1个</w:t>
      </w:r>
      <w:r>
        <w:rPr>
          <w:rFonts w:hint="eastAsia" w:ascii="仿宋_GB2312" w:eastAsia="仿宋_GB2312"/>
          <w:color w:val="000000"/>
          <w:sz w:val="32"/>
          <w:szCs w:val="32"/>
        </w:rPr>
        <w:t>国际禁化武组织首批指定实验室（</w:t>
      </w:r>
      <w:r>
        <w:rPr>
          <w:rFonts w:eastAsia="仿宋_GB2312"/>
          <w:sz w:val="32"/>
          <w:szCs w:val="32"/>
        </w:rPr>
        <w:t>中国分析化学实验室</w:t>
      </w:r>
      <w:r>
        <w:rPr>
          <w:rFonts w:hint="eastAsia" w:ascii="仿宋_GB2312" w:eastAsia="仿宋_GB2312"/>
          <w:color w:val="000000"/>
          <w:sz w:val="32"/>
          <w:szCs w:val="32"/>
        </w:rPr>
        <w:t>）、1个国家重点实验室（国民核生化灾害防护国家重点实验室）、2个北京市重点实验室（先进化学蓄电技术与材料北京市重点实验室、北京市核化安全工程技术研究中心）、4个军队级研究试验中心等一批设施先进、开放共享、军民融合的科研创新平台</w:t>
      </w:r>
      <w:r>
        <w:rPr>
          <w:rFonts w:hint="eastAsia" w:ascii="仿宋_GB2312" w:eastAsia="仿宋_GB2312"/>
          <w:sz w:val="32"/>
          <w:szCs w:val="32"/>
        </w:rPr>
        <w:t>。</w:t>
      </w:r>
    </w:p>
    <w:tbl>
      <w:tblPr>
        <w:tblStyle w:val="11"/>
        <w:tblW w:w="917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85"/>
        <w:gridCol w:w="45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0" w:hRule="atLeast"/>
        </w:trPr>
        <w:tc>
          <w:tcPr>
            <w:tcW w:w="4587" w:type="dxa"/>
          </w:tcPr>
          <w:p>
            <w:pPr>
              <w:widowControl/>
              <w:adjustRightInd w:val="0"/>
              <w:snapToGrid w:val="0"/>
              <w:jc w:val="center"/>
              <w:rPr>
                <w:rFonts w:ascii="仿宋_GB2312" w:eastAsia="仿宋_GB2312"/>
                <w:sz w:val="32"/>
                <w:szCs w:val="32"/>
              </w:rPr>
            </w:pPr>
            <w:r>
              <w:rPr>
                <w:rFonts w:ascii="仿宋_GB2312" w:eastAsia="仿宋_GB2312"/>
                <w:sz w:val="32"/>
                <w:szCs w:val="32"/>
              </w:rPr>
              <w:drawing>
                <wp:inline distT="0" distB="0" distL="0" distR="0">
                  <wp:extent cx="2718435" cy="181102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7702" cy="1817337"/>
                          </a:xfrm>
                          <a:prstGeom prst="rect">
                            <a:avLst/>
                          </a:prstGeom>
                        </pic:spPr>
                      </pic:pic>
                    </a:graphicData>
                  </a:graphic>
                </wp:inline>
              </w:drawing>
            </w:r>
          </w:p>
          <w:p>
            <w:pPr>
              <w:widowControl/>
              <w:adjustRightInd w:val="0"/>
              <w:snapToGrid w:val="0"/>
              <w:jc w:val="center"/>
              <w:rPr>
                <w:rFonts w:ascii="仿宋_GB2312" w:eastAsia="仿宋_GB2312"/>
                <w:sz w:val="32"/>
                <w:szCs w:val="32"/>
              </w:rPr>
            </w:pPr>
          </w:p>
        </w:tc>
        <w:tc>
          <w:tcPr>
            <w:tcW w:w="4584" w:type="dxa"/>
          </w:tcPr>
          <w:p>
            <w:pPr>
              <w:widowControl/>
              <w:adjustRightInd w:val="0"/>
              <w:snapToGrid w:val="0"/>
              <w:jc w:val="center"/>
              <w:rPr>
                <w:rFonts w:ascii="仿宋_GB2312" w:eastAsia="仿宋_GB2312"/>
                <w:sz w:val="32"/>
                <w:szCs w:val="32"/>
              </w:rPr>
            </w:pPr>
            <w:r>
              <w:rPr>
                <w:rFonts w:ascii="仿宋_GB2312" w:eastAsia="仿宋_GB2312"/>
                <w:sz w:val="32"/>
                <w:szCs w:val="32"/>
              </w:rPr>
              <w:drawing>
                <wp:inline distT="0" distB="0" distL="0" distR="0">
                  <wp:extent cx="2774950" cy="1797050"/>
                  <wp:effectExtent l="0" t="0" r="0" b="0"/>
                  <wp:docPr id="176" name="图片 176" descr="E:\2019工作\12 - 招生宣传\各单位上报材料\防化院招生宣传简介\防化\防化\配图\人才成果\人才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descr="E:\2019工作\12 - 招生宣传\各单位上报材料\防化院招生宣传简介\防化\防化\配图\人才成果\人才2.png"/>
                          <pic:cNvPicPr>
                            <a:picLocks noChangeAspect="1" noChangeArrowheads="1"/>
                          </pic:cNvPicPr>
                        </pic:nvPicPr>
                        <pic:blipFill>
                          <a:blip r:embed="rId13" cstate="print">
                            <a:extLst>
                              <a:ext uri="{28A0092B-C50C-407E-A947-70E740481C1C}">
                                <a14:useLocalDpi xmlns:a14="http://schemas.microsoft.com/office/drawing/2010/main" val="0"/>
                              </a:ext>
                            </a:extLst>
                          </a:blip>
                          <a:srcRect t="2119"/>
                          <a:stretch>
                            <a:fillRect/>
                          </a:stretch>
                        </pic:blipFill>
                        <pic:spPr>
                          <a:xfrm>
                            <a:off x="0" y="0"/>
                            <a:ext cx="2774950" cy="1797050"/>
                          </a:xfrm>
                          <a:prstGeom prst="rect">
                            <a:avLst/>
                          </a:prstGeom>
                          <a:noFill/>
                          <a:ln>
                            <a:noFill/>
                          </a:ln>
                        </pic:spPr>
                      </pic:pic>
                    </a:graphicData>
                  </a:graphic>
                </wp:inline>
              </w:drawing>
            </w:r>
          </w:p>
          <w:p>
            <w:pPr>
              <w:widowControl/>
              <w:adjustRightInd w:val="0"/>
              <w:snapToGrid w:val="0"/>
              <w:jc w:val="center"/>
              <w:rPr>
                <w:rFonts w:ascii="仿宋_GB2312" w:eastAsia="仿宋_GB2312"/>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171" w:type="dxa"/>
            <w:gridSpan w:val="2"/>
          </w:tcPr>
          <w:p>
            <w:pPr>
              <w:widowControl/>
              <w:adjustRightInd w:val="0"/>
              <w:snapToGrid w:val="0"/>
              <w:rPr>
                <w:rFonts w:ascii="仿宋_GB2312" w:eastAsia="仿宋_GB2312"/>
                <w:sz w:val="32"/>
                <w:szCs w:val="32"/>
              </w:rPr>
            </w:pPr>
            <w:r>
              <w:rPr>
                <w:rFonts w:ascii="仿宋_GB2312" w:eastAsia="仿宋_GB2312"/>
                <w:sz w:val="32"/>
                <w:szCs w:val="32"/>
              </w:rPr>
              <w:drawing>
                <wp:anchor distT="0" distB="0" distL="114300" distR="114300" simplePos="0" relativeHeight="251660288" behindDoc="0" locked="0" layoutInCell="1" allowOverlap="1">
                  <wp:simplePos x="0" y="0"/>
                  <wp:positionH relativeFrom="column">
                    <wp:posOffset>2961005</wp:posOffset>
                  </wp:positionH>
                  <wp:positionV relativeFrom="paragraph">
                    <wp:posOffset>53340</wp:posOffset>
                  </wp:positionV>
                  <wp:extent cx="2646680" cy="1768475"/>
                  <wp:effectExtent l="19050" t="0" r="1265" b="0"/>
                  <wp:wrapNone/>
                  <wp:docPr id="7" name="图片 3" descr="E:\郝立亮\0627\2黄启斌会议照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E:\郝立亮\0627\2黄启斌会议照片.jpg"/>
                          <pic:cNvPicPr>
                            <a:picLocks noChangeAspect="1" noChangeArrowheads="1"/>
                          </pic:cNvPicPr>
                        </pic:nvPicPr>
                        <pic:blipFill>
                          <a:blip r:embed="rId14" cstate="print"/>
                          <a:srcRect/>
                          <a:stretch>
                            <a:fillRect/>
                          </a:stretch>
                        </pic:blipFill>
                        <pic:spPr>
                          <a:xfrm>
                            <a:off x="0" y="0"/>
                            <a:ext cx="2646685" cy="1768415"/>
                          </a:xfrm>
                          <a:prstGeom prst="rect">
                            <a:avLst/>
                          </a:prstGeom>
                          <a:noFill/>
                          <a:ln w="9525">
                            <a:noFill/>
                            <a:miter lim="800000"/>
                            <a:headEnd/>
                            <a:tailEnd/>
                          </a:ln>
                        </pic:spPr>
                      </pic:pic>
                    </a:graphicData>
                  </a:graphic>
                </wp:anchor>
              </w:drawing>
            </w:r>
            <w:r>
              <w:rPr>
                <w:rFonts w:ascii="仿宋_GB2312" w:eastAsia="仿宋_GB2312"/>
                <w:sz w:val="32"/>
                <w:szCs w:val="32"/>
              </w:rPr>
              <w:drawing>
                <wp:anchor distT="0" distB="0" distL="114300" distR="114300" simplePos="0" relativeHeight="251659264" behindDoc="0" locked="0" layoutInCell="1" allowOverlap="1">
                  <wp:simplePos x="0" y="0"/>
                  <wp:positionH relativeFrom="column">
                    <wp:posOffset>189865</wp:posOffset>
                  </wp:positionH>
                  <wp:positionV relativeFrom="paragraph">
                    <wp:posOffset>1270</wp:posOffset>
                  </wp:positionV>
                  <wp:extent cx="2717800" cy="1794510"/>
                  <wp:effectExtent l="19050" t="0" r="6350" b="0"/>
                  <wp:wrapNone/>
                  <wp:docPr id="6" name="图片 164" descr="E:\2019工作\12 - 招生宣传\各单位上报材料\防化院招生宣传简介\防化\防化\配图\人才成果\人才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64" descr="E:\2019工作\12 - 招生宣传\各单位上报材料\防化院招生宣传简介\防化\防化\配图\人才成果\人才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717800" cy="1794294"/>
                          </a:xfrm>
                          <a:prstGeom prst="rect">
                            <a:avLst/>
                          </a:prstGeom>
                          <a:noFill/>
                          <a:ln>
                            <a:noFill/>
                          </a:ln>
                        </pic:spPr>
                      </pic:pic>
                    </a:graphicData>
                  </a:graphic>
                </wp:anchor>
              </w:drawing>
            </w:r>
          </w:p>
        </w:tc>
      </w:tr>
    </w:tbl>
    <w:p>
      <w:pPr>
        <w:widowControl/>
        <w:adjustRightInd w:val="0"/>
        <w:snapToGrid w:val="0"/>
        <w:spacing w:line="579" w:lineRule="exact"/>
        <w:ind w:firstLine="640" w:firstLineChars="200"/>
        <w:rPr>
          <w:rFonts w:ascii="仿宋_GB2312" w:eastAsia="仿宋_GB2312"/>
          <w:sz w:val="32"/>
          <w:szCs w:val="32"/>
        </w:rPr>
      </w:pPr>
    </w:p>
    <w:p>
      <w:pPr>
        <w:widowControl/>
        <w:adjustRightInd w:val="0"/>
        <w:snapToGrid w:val="0"/>
        <w:spacing w:line="579" w:lineRule="exact"/>
        <w:ind w:firstLine="640" w:firstLineChars="200"/>
        <w:rPr>
          <w:rFonts w:ascii="仿宋_GB2312" w:eastAsia="仿宋_GB2312"/>
          <w:sz w:val="32"/>
          <w:szCs w:val="32"/>
        </w:rPr>
      </w:pPr>
    </w:p>
    <w:p>
      <w:pPr>
        <w:widowControl/>
        <w:adjustRightInd w:val="0"/>
        <w:snapToGrid w:val="0"/>
        <w:spacing w:line="579" w:lineRule="exact"/>
        <w:ind w:firstLine="640" w:firstLineChars="200"/>
        <w:rPr>
          <w:rFonts w:ascii="仿宋_GB2312" w:eastAsia="仿宋_GB2312"/>
          <w:sz w:val="32"/>
          <w:szCs w:val="32"/>
        </w:rPr>
      </w:pPr>
    </w:p>
    <w:p>
      <w:pPr>
        <w:widowControl/>
        <w:adjustRightInd w:val="0"/>
        <w:snapToGrid w:val="0"/>
        <w:spacing w:line="579" w:lineRule="exact"/>
        <w:ind w:firstLine="640" w:firstLineChars="200"/>
        <w:rPr>
          <w:rFonts w:ascii="仿宋_GB2312" w:eastAsia="仿宋_GB2312"/>
          <w:sz w:val="32"/>
          <w:szCs w:val="32"/>
        </w:rPr>
      </w:pPr>
    </w:p>
    <w:p>
      <w:pPr>
        <w:widowControl/>
        <w:adjustRightInd w:val="0"/>
        <w:snapToGrid w:val="0"/>
        <w:spacing w:line="579" w:lineRule="exact"/>
        <w:ind w:firstLine="960" w:firstLineChars="400"/>
        <w:rPr>
          <w:rFonts w:ascii="仿宋_GB2312" w:eastAsia="仿宋_GB2312"/>
          <w:sz w:val="32"/>
          <w:szCs w:val="32"/>
        </w:rPr>
      </w:pPr>
      <w:r>
        <w:rPr>
          <w:rFonts w:hint="eastAsia" w:ascii="宋体" w:hAnsi="宋体" w:cs="黑体"/>
          <w:sz w:val="24"/>
          <w:szCs w:val="32"/>
        </w:rPr>
        <w:t xml:space="preserve">                 </w:t>
      </w:r>
    </w:p>
    <w:p>
      <w:pPr>
        <w:widowControl/>
        <w:adjustRightInd w:val="0"/>
        <w:snapToGrid w:val="0"/>
        <w:spacing w:line="579" w:lineRule="exact"/>
        <w:ind w:firstLine="640" w:firstLineChars="200"/>
        <w:rPr>
          <w:rFonts w:ascii="仿宋_GB2312" w:eastAsia="仿宋_GB2312"/>
          <w:sz w:val="32"/>
          <w:szCs w:val="32"/>
        </w:rPr>
      </w:pPr>
      <w:r>
        <w:rPr>
          <w:rFonts w:hint="eastAsia" w:ascii="仿宋_GB2312" w:eastAsia="仿宋_GB2312"/>
          <w:sz w:val="32"/>
          <w:szCs w:val="32"/>
        </w:rPr>
        <w:t>直属单位七</w:t>
      </w:r>
      <w:r>
        <w:rPr>
          <w:rFonts w:hint="eastAsia" w:ascii="仿宋_GB2312" w:eastAsia="仿宋_GB2312"/>
          <w:sz w:val="32"/>
        </w:rPr>
        <w:t>拥有一支以国家级专家为引领、全军领军人才和拔尖人才为先锋、领域专家和青年人才为骨干的科研人才方阵。</w:t>
      </w:r>
      <w:r>
        <w:rPr>
          <w:rFonts w:hint="eastAsia" w:ascii="仿宋_GB2312" w:eastAsia="仿宋_GB2312"/>
          <w:color w:val="000000"/>
          <w:sz w:val="32"/>
          <w:szCs w:val="32"/>
        </w:rPr>
        <w:t>现有博士后合作导师18人、研究生导师116人。其中，国家“百千万人才工程”人选2人，专业技术三级专家4人，</w:t>
      </w:r>
      <w:r>
        <w:rPr>
          <w:rFonts w:hint="eastAsia" w:ascii="仿宋_GB2312" w:eastAsia="仿宋_GB2312"/>
          <w:sz w:val="32"/>
          <w:szCs w:val="32"/>
        </w:rPr>
        <w:t>军队“高层次科技创新人才工程”人选</w:t>
      </w:r>
      <w:r>
        <w:rPr>
          <w:rFonts w:ascii="仿宋_GB2312" w:eastAsia="仿宋_GB2312"/>
          <w:sz w:val="32"/>
          <w:szCs w:val="32"/>
        </w:rPr>
        <w:t>及</w:t>
      </w:r>
      <w:r>
        <w:rPr>
          <w:rFonts w:hint="eastAsia" w:ascii="仿宋_GB2312" w:eastAsia="仿宋_GB2312"/>
          <w:sz w:val="32"/>
          <w:szCs w:val="32"/>
        </w:rPr>
        <w:t>培养对象</w:t>
      </w:r>
      <w:r>
        <w:rPr>
          <w:rFonts w:hint="eastAsia" w:ascii="仿宋_GB2312" w:eastAsia="仿宋_GB2312"/>
          <w:color w:val="000000"/>
          <w:sz w:val="32"/>
          <w:szCs w:val="32"/>
        </w:rPr>
        <w:t>5人，“中国科协青年人才托举工程”人选1人。累计</w:t>
      </w:r>
      <w:r>
        <w:rPr>
          <w:rFonts w:hint="eastAsia" w:ascii="仿宋_GB2312" w:eastAsia="仿宋_GB2312"/>
          <w:sz w:val="32"/>
          <w:szCs w:val="32"/>
        </w:rPr>
        <w:t>研制开发核生化防护装备200余种，</w:t>
      </w:r>
      <w:r>
        <w:rPr>
          <w:rFonts w:ascii="仿宋_GB2312" w:eastAsia="仿宋_GB2312"/>
          <w:sz w:val="32"/>
          <w:szCs w:val="32"/>
        </w:rPr>
        <w:t>获国家和军队科技进步奖</w:t>
      </w:r>
      <w:r>
        <w:rPr>
          <w:rFonts w:hint="eastAsia" w:ascii="仿宋_GB2312" w:eastAsia="仿宋_GB2312"/>
          <w:sz w:val="32"/>
          <w:szCs w:val="32"/>
        </w:rPr>
        <w:t>800余</w:t>
      </w:r>
      <w:r>
        <w:rPr>
          <w:rFonts w:ascii="仿宋_GB2312" w:eastAsia="仿宋_GB2312"/>
          <w:sz w:val="32"/>
          <w:szCs w:val="32"/>
        </w:rPr>
        <w:t>项，其中国家级科技进步奖</w:t>
      </w:r>
      <w:r>
        <w:rPr>
          <w:rFonts w:hint="eastAsia" w:ascii="仿宋_GB2312" w:eastAsia="仿宋_GB2312"/>
          <w:sz w:val="32"/>
          <w:szCs w:val="32"/>
        </w:rPr>
        <w:t>20余</w:t>
      </w:r>
      <w:r>
        <w:rPr>
          <w:rFonts w:ascii="仿宋_GB2312" w:eastAsia="仿宋_GB2312"/>
          <w:sz w:val="32"/>
          <w:szCs w:val="32"/>
        </w:rPr>
        <w:t>项，军队（部委）级科技进步一、二等奖</w:t>
      </w:r>
      <w:r>
        <w:rPr>
          <w:rFonts w:hint="eastAsia" w:ascii="仿宋_GB2312" w:eastAsia="仿宋_GB2312"/>
          <w:sz w:val="32"/>
          <w:szCs w:val="32"/>
        </w:rPr>
        <w:t>200余</w:t>
      </w:r>
      <w:r>
        <w:rPr>
          <w:rFonts w:ascii="仿宋_GB2312" w:eastAsia="仿宋_GB2312"/>
          <w:sz w:val="32"/>
          <w:szCs w:val="32"/>
        </w:rPr>
        <w:t>项</w:t>
      </w:r>
      <w:r>
        <w:rPr>
          <w:rFonts w:hint="eastAsia" w:ascii="仿宋_GB2312" w:eastAsia="仿宋_GB2312"/>
          <w:sz w:val="32"/>
          <w:szCs w:val="32"/>
        </w:rPr>
        <w:t>。</w:t>
      </w:r>
    </w:p>
    <w:p>
      <w:pPr>
        <w:jc w:val="center"/>
        <w:rPr>
          <w:rFonts w:ascii="仿宋_GB2312" w:hAnsi="宋体" w:eastAsia="仿宋_GB2312"/>
          <w:sz w:val="28"/>
          <w:szCs w:val="28"/>
        </w:rPr>
      </w:pPr>
      <w:r>
        <w:rPr>
          <w:rFonts w:ascii="仿宋_GB2312" w:hAnsi="宋体" w:eastAsia="仿宋_GB2312"/>
          <w:sz w:val="28"/>
          <w:szCs w:val="28"/>
        </w:rPr>
        <w:drawing>
          <wp:inline distT="0" distB="0" distL="0" distR="0">
            <wp:extent cx="2800350" cy="1859915"/>
            <wp:effectExtent l="0" t="0" r="0" b="0"/>
            <wp:docPr id="179" name="图片 179" descr="E:\2019工作\12 - 招生宣传\各单位上报材料\防化院招生宣传简介\防化\防化\配图\学科建设\研究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descr="E:\2019工作\12 - 招生宣传\各单位上报材料\防化院招生宣传简介\防化\防化\配图\学科建设\研究生.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2809572" cy="1866181"/>
                    </a:xfrm>
                    <a:prstGeom prst="rect">
                      <a:avLst/>
                    </a:prstGeom>
                    <a:noFill/>
                    <a:ln>
                      <a:noFill/>
                    </a:ln>
                  </pic:spPr>
                </pic:pic>
              </a:graphicData>
            </a:graphic>
          </wp:inline>
        </w:drawing>
      </w:r>
      <w:r>
        <w:rPr>
          <w:rFonts w:ascii="仿宋_GB2312" w:hAnsi="宋体" w:eastAsia="仿宋_GB2312"/>
          <w:sz w:val="28"/>
          <w:szCs w:val="28"/>
        </w:rPr>
        <w:drawing>
          <wp:inline distT="0" distB="0" distL="0" distR="0">
            <wp:extent cx="2623820" cy="185293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7992" cy="1855816"/>
                    </a:xfrm>
                    <a:prstGeom prst="rect">
                      <a:avLst/>
                    </a:prstGeom>
                  </pic:spPr>
                </pic:pic>
              </a:graphicData>
            </a:graphic>
          </wp:inline>
        </w:drawing>
      </w:r>
      <w:r>
        <w:rPr>
          <w:rFonts w:ascii="仿宋_GB2312" w:hAnsi="宋体" w:eastAsia="仿宋_GB2312"/>
          <w:sz w:val="28"/>
          <w:szCs w:val="28"/>
        </w:rPr>
        <w:drawing>
          <wp:inline distT="0" distB="0" distL="0" distR="0">
            <wp:extent cx="2762250" cy="1908175"/>
            <wp:effectExtent l="0" t="0" r="0" b="0"/>
            <wp:docPr id="11" name="图片 2" descr="C:\Users\Administrator\Desktop\2019微信宣传\足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C:\Users\Administrator\Desktop\2019微信宣传\足球.jpg"/>
                    <pic:cNvPicPr>
                      <a:picLocks noChangeAspect="1" noChangeArrowheads="1"/>
                    </pic:cNvPicPr>
                  </pic:nvPicPr>
                  <pic:blipFill>
                    <a:blip r:embed="rId18" cstate="print"/>
                    <a:srcRect/>
                    <a:stretch>
                      <a:fillRect/>
                    </a:stretch>
                  </pic:blipFill>
                  <pic:spPr>
                    <a:xfrm>
                      <a:off x="0" y="0"/>
                      <a:ext cx="2766827" cy="1911735"/>
                    </a:xfrm>
                    <a:prstGeom prst="rect">
                      <a:avLst/>
                    </a:prstGeom>
                    <a:noFill/>
                    <a:ln w="9525">
                      <a:noFill/>
                      <a:miter lim="800000"/>
                      <a:headEnd/>
                      <a:tailEnd/>
                    </a:ln>
                  </pic:spPr>
                </pic:pic>
              </a:graphicData>
            </a:graphic>
          </wp:inline>
        </w:drawing>
      </w:r>
      <w:r>
        <w:rPr>
          <w:rFonts w:hint="eastAsia" w:ascii="仿宋_GB2312" w:hAnsi="宋体" w:eastAsia="仿宋_GB2312"/>
          <w:sz w:val="28"/>
          <w:szCs w:val="28"/>
        </w:rPr>
        <w:drawing>
          <wp:inline distT="0" distB="0" distL="0" distR="0">
            <wp:extent cx="2597150" cy="1901825"/>
            <wp:effectExtent l="0" t="0" r="0" b="0"/>
            <wp:docPr id="10" name="图片 3" descr="C:\Users\Administrator\Desktop\2019微信宣传\篮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C:\Users\Administrator\Desktop\2019微信宣传\篮球.jpg"/>
                    <pic:cNvPicPr>
                      <a:picLocks noChangeAspect="1" noChangeArrowheads="1"/>
                    </pic:cNvPicPr>
                  </pic:nvPicPr>
                  <pic:blipFill>
                    <a:blip r:embed="rId19" cstate="print"/>
                    <a:srcRect/>
                    <a:stretch>
                      <a:fillRect/>
                    </a:stretch>
                  </pic:blipFill>
                  <pic:spPr>
                    <a:xfrm>
                      <a:off x="0" y="0"/>
                      <a:ext cx="2604430" cy="1907162"/>
                    </a:xfrm>
                    <a:prstGeom prst="rect">
                      <a:avLst/>
                    </a:prstGeom>
                    <a:noFill/>
                    <a:ln w="9525">
                      <a:noFill/>
                      <a:miter lim="800000"/>
                      <a:headEnd/>
                      <a:tailEnd/>
                    </a:ln>
                  </pic:spPr>
                </pic:pic>
              </a:graphicData>
            </a:graphic>
          </wp:inline>
        </w:drawing>
      </w:r>
    </w:p>
    <w:p>
      <w:pPr>
        <w:widowControl/>
        <w:adjustRightInd w:val="0"/>
        <w:snapToGrid w:val="0"/>
        <w:spacing w:line="579" w:lineRule="exact"/>
        <w:ind w:firstLine="640" w:firstLineChars="200"/>
        <w:rPr>
          <w:rFonts w:ascii="仿宋_GB2312" w:eastAsia="仿宋_GB2312"/>
          <w:sz w:val="32"/>
          <w:szCs w:val="32"/>
        </w:rPr>
      </w:pPr>
      <w:r>
        <w:rPr>
          <w:rFonts w:hint="eastAsia" w:ascii="仿宋_GB2312" w:eastAsia="仿宋_GB2312"/>
          <w:sz w:val="32"/>
          <w:szCs w:val="32"/>
        </w:rPr>
        <w:t>直属单位七主营区位于北京市昌平区阳坊镇，营区自然环境优美，绿树成荫，鸟语花香，小桥流水，荷塘月色。配套保障设施完善，文化体育活动丰富。欢迎有志于献身国防事业的优秀学子踊跃报考军事科学院直属单位七。</w:t>
      </w:r>
    </w:p>
    <w:p>
      <w:pPr>
        <w:widowControl/>
        <w:jc w:val="left"/>
        <w:rPr>
          <w:rFonts w:ascii="黑体" w:hAnsi="黑体" w:eastAsia="黑体" w:cs="宋体"/>
          <w:sz w:val="32"/>
          <w:szCs w:val="32"/>
        </w:rPr>
      </w:pPr>
      <w:r>
        <w:rPr>
          <w:rFonts w:ascii="黑体" w:hAnsi="黑体" w:eastAsia="黑体" w:cs="宋体"/>
          <w:sz w:val="32"/>
          <w:szCs w:val="32"/>
        </w:rPr>
        <w:br w:type="page"/>
      </w:r>
    </w:p>
    <w:p>
      <w:pPr>
        <w:widowControl/>
        <w:jc w:val="left"/>
        <w:rPr>
          <w:rFonts w:ascii="黑体" w:hAnsi="黑体" w:eastAsia="黑体" w:cs="宋体"/>
          <w:sz w:val="32"/>
          <w:szCs w:val="32"/>
        </w:rPr>
      </w:pPr>
    </w:p>
    <w:p>
      <w:pPr>
        <w:spacing w:before="312" w:beforeLines="100" w:line="560" w:lineRule="exact"/>
        <w:jc w:val="center"/>
        <w:rPr>
          <w:rFonts w:ascii="方正小标宋简体" w:eastAsia="方正小标宋简体"/>
          <w:color w:val="000000"/>
          <w:kern w:val="0"/>
          <w:sz w:val="44"/>
          <w:szCs w:val="44"/>
        </w:rPr>
      </w:pPr>
      <w:r>
        <w:rPr>
          <w:rFonts w:hint="eastAsia" w:ascii="方正小标宋简体" w:eastAsia="方正小标宋简体"/>
          <w:color w:val="000000"/>
          <w:kern w:val="0"/>
          <w:sz w:val="44"/>
          <w:szCs w:val="44"/>
        </w:rPr>
        <w:t>直属单位七2022年招生专业目录</w:t>
      </w:r>
    </w:p>
    <w:tbl>
      <w:tblPr>
        <w:tblStyle w:val="10"/>
        <w:tblW w:w="8639"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4"/>
        <w:gridCol w:w="1192"/>
        <w:gridCol w:w="918"/>
        <w:gridCol w:w="2120"/>
        <w:gridCol w:w="2693"/>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0" w:hRule="atLeast"/>
        </w:trPr>
        <w:tc>
          <w:tcPr>
            <w:tcW w:w="724" w:type="dxa"/>
            <w:tcMar>
              <w:top w:w="12" w:type="dxa"/>
              <w:left w:w="12" w:type="dxa"/>
              <w:bottom w:w="0" w:type="dxa"/>
              <w:right w:w="12" w:type="dxa"/>
            </w:tcMar>
            <w:vAlign w:val="center"/>
          </w:tcPr>
          <w:p>
            <w:pPr>
              <w:widowControl/>
              <w:jc w:val="center"/>
              <w:textAlignment w:val="center"/>
              <w:rPr>
                <w:rFonts w:ascii="宋体" w:hAnsi="宋体"/>
                <w:b/>
                <w:bCs/>
                <w:color w:val="000000"/>
                <w:sz w:val="20"/>
                <w:szCs w:val="20"/>
              </w:rPr>
            </w:pPr>
            <w:r>
              <w:rPr>
                <w:rFonts w:hint="eastAsia" w:ascii="宋体" w:hAnsi="宋体"/>
                <w:b/>
                <w:bCs/>
                <w:color w:val="000000"/>
                <w:kern w:val="0"/>
                <w:sz w:val="20"/>
                <w:szCs w:val="20"/>
              </w:rPr>
              <w:t>序号</w:t>
            </w:r>
          </w:p>
        </w:tc>
        <w:tc>
          <w:tcPr>
            <w:tcW w:w="1192" w:type="dxa"/>
            <w:tcMar>
              <w:top w:w="12" w:type="dxa"/>
              <w:left w:w="12" w:type="dxa"/>
              <w:bottom w:w="0" w:type="dxa"/>
              <w:right w:w="12" w:type="dxa"/>
            </w:tcMar>
            <w:vAlign w:val="center"/>
          </w:tcPr>
          <w:p>
            <w:pPr>
              <w:widowControl/>
              <w:jc w:val="center"/>
              <w:textAlignment w:val="center"/>
              <w:rPr>
                <w:rFonts w:ascii="宋体" w:hAnsi="宋体"/>
                <w:b/>
                <w:bCs/>
                <w:color w:val="000000"/>
                <w:sz w:val="20"/>
                <w:szCs w:val="20"/>
              </w:rPr>
            </w:pPr>
            <w:r>
              <w:rPr>
                <w:rFonts w:hint="eastAsia" w:ascii="宋体" w:hAnsi="宋体"/>
                <w:b/>
                <w:bCs/>
                <w:color w:val="000000"/>
                <w:kern w:val="0"/>
                <w:sz w:val="20"/>
                <w:szCs w:val="20"/>
              </w:rPr>
              <w:t>学位类型</w:t>
            </w:r>
          </w:p>
        </w:tc>
        <w:tc>
          <w:tcPr>
            <w:tcW w:w="918" w:type="dxa"/>
            <w:tcMar>
              <w:top w:w="12" w:type="dxa"/>
              <w:left w:w="12" w:type="dxa"/>
              <w:bottom w:w="0" w:type="dxa"/>
              <w:right w:w="12" w:type="dxa"/>
            </w:tcMar>
            <w:vAlign w:val="center"/>
          </w:tcPr>
          <w:p>
            <w:pPr>
              <w:widowControl/>
              <w:jc w:val="center"/>
              <w:textAlignment w:val="center"/>
              <w:rPr>
                <w:rFonts w:hint="eastAsia" w:ascii="宋体" w:hAnsi="宋体" w:eastAsia="宋体"/>
                <w:b/>
                <w:bCs/>
                <w:color w:val="000000"/>
                <w:kern w:val="0"/>
                <w:sz w:val="20"/>
                <w:szCs w:val="20"/>
                <w:lang w:eastAsia="zh-CN"/>
              </w:rPr>
            </w:pPr>
            <w:r>
              <w:rPr>
                <w:rFonts w:hint="eastAsia" w:ascii="宋体" w:hAnsi="宋体"/>
                <w:b/>
                <w:bCs/>
                <w:color w:val="000000"/>
                <w:kern w:val="0"/>
                <w:sz w:val="20"/>
                <w:szCs w:val="20"/>
              </w:rPr>
              <w:t>学科</w:t>
            </w:r>
          </w:p>
          <w:p>
            <w:pPr>
              <w:widowControl/>
              <w:jc w:val="center"/>
              <w:textAlignment w:val="center"/>
              <w:rPr>
                <w:rFonts w:ascii="宋体" w:hAnsi="宋体"/>
                <w:b/>
                <w:bCs/>
                <w:color w:val="000000"/>
                <w:sz w:val="20"/>
                <w:szCs w:val="20"/>
              </w:rPr>
            </w:pPr>
            <w:r>
              <w:rPr>
                <w:rFonts w:hint="eastAsia" w:ascii="宋体" w:hAnsi="宋体"/>
                <w:b/>
                <w:bCs/>
                <w:color w:val="000000"/>
                <w:kern w:val="0"/>
                <w:sz w:val="20"/>
                <w:szCs w:val="20"/>
              </w:rPr>
              <w:t>门类</w:t>
            </w:r>
          </w:p>
        </w:tc>
        <w:tc>
          <w:tcPr>
            <w:tcW w:w="2120" w:type="dxa"/>
            <w:tcMar>
              <w:top w:w="12" w:type="dxa"/>
              <w:left w:w="12" w:type="dxa"/>
              <w:bottom w:w="0" w:type="dxa"/>
              <w:right w:w="12" w:type="dxa"/>
            </w:tcMar>
            <w:vAlign w:val="center"/>
          </w:tcPr>
          <w:p>
            <w:pPr>
              <w:widowControl/>
              <w:jc w:val="center"/>
              <w:textAlignment w:val="center"/>
              <w:rPr>
                <w:rFonts w:hint="eastAsia" w:ascii="宋体" w:hAnsi="宋体" w:eastAsia="宋体"/>
                <w:b/>
                <w:bCs/>
                <w:color w:val="000000"/>
                <w:kern w:val="0"/>
                <w:sz w:val="20"/>
                <w:szCs w:val="20"/>
                <w:lang w:eastAsia="zh-CN"/>
              </w:rPr>
            </w:pPr>
            <w:r>
              <w:rPr>
                <w:rFonts w:hint="eastAsia" w:ascii="宋体" w:hAnsi="宋体"/>
                <w:b/>
                <w:bCs/>
                <w:color w:val="000000"/>
                <w:kern w:val="0"/>
                <w:sz w:val="20"/>
                <w:szCs w:val="20"/>
              </w:rPr>
              <w:t>一级学科</w:t>
            </w:r>
          </w:p>
          <w:p>
            <w:pPr>
              <w:widowControl/>
              <w:jc w:val="center"/>
              <w:textAlignment w:val="center"/>
              <w:rPr>
                <w:rFonts w:ascii="宋体" w:hAnsi="宋体"/>
                <w:b/>
                <w:bCs/>
                <w:color w:val="000000"/>
                <w:sz w:val="20"/>
                <w:szCs w:val="20"/>
              </w:rPr>
            </w:pPr>
            <w:r>
              <w:rPr>
                <w:rFonts w:hint="eastAsia" w:ascii="宋体" w:hAnsi="宋体"/>
                <w:b/>
                <w:bCs/>
                <w:color w:val="000000"/>
                <w:kern w:val="0"/>
                <w:sz w:val="20"/>
                <w:szCs w:val="20"/>
              </w:rPr>
              <w:t>（专业学位类别）</w:t>
            </w:r>
          </w:p>
        </w:tc>
        <w:tc>
          <w:tcPr>
            <w:tcW w:w="2693" w:type="dxa"/>
            <w:tcMar>
              <w:top w:w="12" w:type="dxa"/>
              <w:left w:w="12" w:type="dxa"/>
              <w:bottom w:w="0" w:type="dxa"/>
              <w:right w:w="12" w:type="dxa"/>
            </w:tcMar>
            <w:vAlign w:val="center"/>
          </w:tcPr>
          <w:p>
            <w:pPr>
              <w:widowControl/>
              <w:jc w:val="center"/>
              <w:textAlignment w:val="center"/>
              <w:rPr>
                <w:rFonts w:hint="eastAsia" w:ascii="宋体" w:hAnsi="宋体" w:eastAsia="宋体"/>
                <w:b/>
                <w:bCs/>
                <w:color w:val="000000"/>
                <w:kern w:val="0"/>
                <w:sz w:val="20"/>
                <w:szCs w:val="20"/>
                <w:lang w:eastAsia="zh-CN"/>
              </w:rPr>
            </w:pPr>
            <w:r>
              <w:rPr>
                <w:rFonts w:hint="eastAsia" w:ascii="宋体" w:hAnsi="宋体"/>
                <w:b/>
                <w:bCs/>
                <w:color w:val="000000"/>
                <w:kern w:val="0"/>
                <w:sz w:val="20"/>
                <w:szCs w:val="20"/>
              </w:rPr>
              <w:t>二级学科</w:t>
            </w:r>
          </w:p>
          <w:p>
            <w:pPr>
              <w:widowControl/>
              <w:jc w:val="center"/>
              <w:textAlignment w:val="center"/>
              <w:rPr>
                <w:rFonts w:ascii="宋体" w:hAnsi="宋体"/>
                <w:b/>
                <w:bCs/>
                <w:color w:val="000000"/>
                <w:sz w:val="20"/>
                <w:szCs w:val="20"/>
              </w:rPr>
            </w:pPr>
            <w:r>
              <w:rPr>
                <w:rFonts w:hint="eastAsia" w:ascii="宋体" w:hAnsi="宋体"/>
                <w:b/>
                <w:bCs/>
                <w:color w:val="000000"/>
                <w:kern w:val="0"/>
                <w:sz w:val="20"/>
                <w:szCs w:val="20"/>
              </w:rPr>
              <w:t>（专业学位领域）</w:t>
            </w:r>
          </w:p>
        </w:tc>
        <w:tc>
          <w:tcPr>
            <w:tcW w:w="992" w:type="dxa"/>
            <w:tcMar>
              <w:top w:w="12" w:type="dxa"/>
              <w:left w:w="12" w:type="dxa"/>
              <w:bottom w:w="0" w:type="dxa"/>
              <w:right w:w="12" w:type="dxa"/>
            </w:tcMar>
            <w:vAlign w:val="center"/>
          </w:tcPr>
          <w:p>
            <w:pPr>
              <w:widowControl/>
              <w:jc w:val="center"/>
              <w:textAlignment w:val="center"/>
              <w:rPr>
                <w:rFonts w:hint="eastAsia" w:ascii="宋体" w:hAnsi="宋体" w:eastAsia="宋体"/>
                <w:b/>
                <w:bCs/>
                <w:color w:val="000000"/>
                <w:kern w:val="0"/>
                <w:sz w:val="20"/>
                <w:szCs w:val="20"/>
                <w:lang w:eastAsia="zh-CN"/>
              </w:rPr>
            </w:pPr>
            <w:r>
              <w:rPr>
                <w:rFonts w:hint="eastAsia" w:ascii="宋体" w:hAnsi="宋体"/>
                <w:b/>
                <w:bCs/>
                <w:color w:val="000000"/>
                <w:kern w:val="0"/>
                <w:sz w:val="20"/>
                <w:szCs w:val="20"/>
              </w:rPr>
              <w:t>培养</w:t>
            </w:r>
          </w:p>
          <w:p>
            <w:pPr>
              <w:widowControl/>
              <w:jc w:val="center"/>
              <w:textAlignment w:val="center"/>
              <w:rPr>
                <w:rFonts w:ascii="宋体" w:hAnsi="宋体"/>
                <w:b/>
                <w:bCs/>
                <w:color w:val="000000"/>
                <w:sz w:val="20"/>
                <w:szCs w:val="20"/>
              </w:rPr>
            </w:pPr>
            <w:r>
              <w:rPr>
                <w:rFonts w:hint="eastAsia" w:ascii="宋体" w:hAnsi="宋体"/>
                <w:b/>
                <w:bCs/>
                <w:color w:val="000000"/>
                <w:kern w:val="0"/>
                <w:sz w:val="20"/>
                <w:szCs w:val="20"/>
              </w:rPr>
              <w:t>层次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24" w:type="dxa"/>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1</w:t>
            </w:r>
          </w:p>
        </w:tc>
        <w:tc>
          <w:tcPr>
            <w:tcW w:w="1192" w:type="dxa"/>
            <w:vMerge w:val="restart"/>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学术学位</w:t>
            </w:r>
          </w:p>
        </w:tc>
        <w:tc>
          <w:tcPr>
            <w:tcW w:w="918" w:type="dxa"/>
            <w:vMerge w:val="restart"/>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工学</w:t>
            </w:r>
          </w:p>
        </w:tc>
        <w:tc>
          <w:tcPr>
            <w:tcW w:w="2120" w:type="dxa"/>
            <w:vMerge w:val="restart"/>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sz w:val="20"/>
                <w:szCs w:val="20"/>
              </w:rPr>
              <w:t>兵器科学与技术</w:t>
            </w:r>
          </w:p>
        </w:tc>
        <w:tc>
          <w:tcPr>
            <w:tcW w:w="2693" w:type="dxa"/>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军事化学与烟火技术</w:t>
            </w:r>
          </w:p>
        </w:tc>
        <w:tc>
          <w:tcPr>
            <w:tcW w:w="992" w:type="dxa"/>
            <w:vMerge w:val="restart"/>
            <w:tcMar>
              <w:top w:w="12" w:type="dxa"/>
              <w:left w:w="12" w:type="dxa"/>
              <w:bottom w:w="0" w:type="dxa"/>
              <w:right w:w="12" w:type="dxa"/>
            </w:tcMar>
            <w:vAlign w:val="center"/>
          </w:tcPr>
          <w:p>
            <w:pPr>
              <w:widowControl/>
              <w:jc w:val="center"/>
              <w:textAlignment w:val="center"/>
              <w:rPr>
                <w:rFonts w:hint="eastAsia" w:ascii="宋体" w:hAnsi="宋体" w:eastAsia="宋体"/>
                <w:color w:val="000000"/>
                <w:kern w:val="0"/>
                <w:sz w:val="20"/>
                <w:szCs w:val="20"/>
                <w:lang w:eastAsia="zh-CN"/>
              </w:rPr>
            </w:pPr>
            <w:r>
              <w:rPr>
                <w:rFonts w:hint="eastAsia" w:ascii="宋体" w:hAnsi="宋体"/>
                <w:color w:val="000000"/>
                <w:kern w:val="0"/>
                <w:sz w:val="20"/>
                <w:szCs w:val="20"/>
              </w:rPr>
              <w:t>博士</w:t>
            </w:r>
          </w:p>
          <w:p>
            <w:pPr>
              <w:widowControl/>
              <w:jc w:val="center"/>
              <w:textAlignment w:val="center"/>
              <w:rPr>
                <w:rFonts w:ascii="宋体" w:hAnsi="宋体"/>
                <w:color w:val="000000"/>
                <w:sz w:val="20"/>
                <w:szCs w:val="20"/>
              </w:rPr>
            </w:pPr>
            <w:r>
              <w:rPr>
                <w:rFonts w:hint="eastAsia" w:ascii="宋体" w:hAnsi="宋体"/>
                <w:color w:val="000000"/>
                <w:kern w:val="0"/>
                <w:sz w:val="20"/>
                <w:szCs w:val="20"/>
              </w:rPr>
              <w:t>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24" w:type="dxa"/>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2</w:t>
            </w:r>
          </w:p>
        </w:tc>
        <w:tc>
          <w:tcPr>
            <w:tcW w:w="1192" w:type="dxa"/>
            <w:vMerge w:val="continue"/>
            <w:vAlign w:val="center"/>
          </w:tcPr>
          <w:p>
            <w:pPr>
              <w:widowControl/>
              <w:jc w:val="left"/>
              <w:rPr>
                <w:rFonts w:ascii="宋体" w:hAnsi="宋体"/>
                <w:color w:val="000000"/>
                <w:sz w:val="20"/>
                <w:szCs w:val="20"/>
              </w:rPr>
            </w:pPr>
          </w:p>
        </w:tc>
        <w:tc>
          <w:tcPr>
            <w:tcW w:w="918" w:type="dxa"/>
            <w:vMerge w:val="continue"/>
            <w:vAlign w:val="center"/>
          </w:tcPr>
          <w:p>
            <w:pPr>
              <w:widowControl/>
              <w:jc w:val="left"/>
              <w:rPr>
                <w:rFonts w:ascii="宋体" w:hAnsi="宋体"/>
                <w:color w:val="000000"/>
                <w:sz w:val="20"/>
                <w:szCs w:val="20"/>
              </w:rPr>
            </w:pPr>
          </w:p>
        </w:tc>
        <w:tc>
          <w:tcPr>
            <w:tcW w:w="2120" w:type="dxa"/>
            <w:vMerge w:val="continue"/>
            <w:vAlign w:val="center"/>
          </w:tcPr>
          <w:p>
            <w:pPr>
              <w:widowControl/>
              <w:jc w:val="left"/>
              <w:rPr>
                <w:rFonts w:ascii="宋体" w:hAnsi="宋体"/>
                <w:color w:val="000000"/>
                <w:sz w:val="20"/>
                <w:szCs w:val="20"/>
              </w:rPr>
            </w:pPr>
          </w:p>
        </w:tc>
        <w:tc>
          <w:tcPr>
            <w:tcW w:w="2693" w:type="dxa"/>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军用功能材料</w:t>
            </w:r>
          </w:p>
        </w:tc>
        <w:tc>
          <w:tcPr>
            <w:tcW w:w="992" w:type="dxa"/>
            <w:vMerge w:val="continue"/>
            <w:vAlign w:val="center"/>
          </w:tcPr>
          <w:p>
            <w:pPr>
              <w:widowControl/>
              <w:jc w:val="left"/>
              <w:rPr>
                <w:rFonts w:ascii="宋体" w:hAnsi="宋体"/>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24" w:type="dxa"/>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3</w:t>
            </w:r>
          </w:p>
        </w:tc>
        <w:tc>
          <w:tcPr>
            <w:tcW w:w="1192" w:type="dxa"/>
            <w:vMerge w:val="continue"/>
            <w:vAlign w:val="center"/>
          </w:tcPr>
          <w:p>
            <w:pPr>
              <w:widowControl/>
              <w:jc w:val="left"/>
              <w:rPr>
                <w:rFonts w:ascii="宋体" w:hAnsi="宋体"/>
                <w:color w:val="000000"/>
                <w:sz w:val="20"/>
                <w:szCs w:val="20"/>
              </w:rPr>
            </w:pPr>
          </w:p>
        </w:tc>
        <w:tc>
          <w:tcPr>
            <w:tcW w:w="918" w:type="dxa"/>
            <w:vMerge w:val="continue"/>
            <w:vAlign w:val="center"/>
          </w:tcPr>
          <w:p>
            <w:pPr>
              <w:widowControl/>
              <w:jc w:val="left"/>
              <w:rPr>
                <w:rFonts w:ascii="宋体" w:hAnsi="宋体"/>
                <w:color w:val="000000"/>
                <w:sz w:val="20"/>
                <w:szCs w:val="20"/>
              </w:rPr>
            </w:pPr>
          </w:p>
        </w:tc>
        <w:tc>
          <w:tcPr>
            <w:tcW w:w="2120" w:type="dxa"/>
            <w:vMerge w:val="restart"/>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sz w:val="20"/>
                <w:szCs w:val="20"/>
              </w:rPr>
              <w:t>核科学与技术</w:t>
            </w:r>
          </w:p>
        </w:tc>
        <w:tc>
          <w:tcPr>
            <w:tcW w:w="2693" w:type="dxa"/>
            <w:shd w:val="clear" w:color="auto" w:fill="FFFFFF"/>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核技术及应用</w:t>
            </w:r>
          </w:p>
        </w:tc>
        <w:tc>
          <w:tcPr>
            <w:tcW w:w="992" w:type="dxa"/>
            <w:vMerge w:val="restart"/>
            <w:tcMar>
              <w:top w:w="12" w:type="dxa"/>
              <w:left w:w="12" w:type="dxa"/>
              <w:bottom w:w="0" w:type="dxa"/>
              <w:right w:w="12" w:type="dxa"/>
            </w:tcMar>
            <w:vAlign w:val="center"/>
          </w:tcPr>
          <w:p>
            <w:pPr>
              <w:widowControl/>
              <w:jc w:val="center"/>
              <w:textAlignment w:val="center"/>
              <w:rPr>
                <w:rFonts w:hint="eastAsia" w:ascii="宋体" w:hAnsi="宋体" w:eastAsia="宋体"/>
                <w:color w:val="000000"/>
                <w:kern w:val="0"/>
                <w:sz w:val="20"/>
                <w:szCs w:val="20"/>
                <w:lang w:eastAsia="zh-CN"/>
              </w:rPr>
            </w:pPr>
            <w:r>
              <w:rPr>
                <w:rFonts w:hint="eastAsia" w:ascii="宋体" w:hAnsi="宋体"/>
                <w:color w:val="000000"/>
                <w:kern w:val="0"/>
                <w:sz w:val="20"/>
                <w:szCs w:val="20"/>
              </w:rPr>
              <w:t>博士</w:t>
            </w:r>
          </w:p>
          <w:p>
            <w:pPr>
              <w:widowControl/>
              <w:jc w:val="center"/>
              <w:textAlignment w:val="center"/>
              <w:rPr>
                <w:rFonts w:ascii="宋体" w:hAnsi="宋体"/>
                <w:color w:val="000000"/>
                <w:sz w:val="20"/>
                <w:szCs w:val="20"/>
              </w:rPr>
            </w:pPr>
            <w:r>
              <w:rPr>
                <w:rFonts w:hint="eastAsia" w:ascii="宋体" w:hAnsi="宋体"/>
                <w:color w:val="000000"/>
                <w:kern w:val="0"/>
                <w:sz w:val="20"/>
                <w:szCs w:val="20"/>
              </w:rPr>
              <w:t>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0" w:hRule="atLeast"/>
        </w:trPr>
        <w:tc>
          <w:tcPr>
            <w:tcW w:w="724" w:type="dxa"/>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kern w:val="0"/>
                <w:sz w:val="20"/>
                <w:szCs w:val="20"/>
              </w:rPr>
              <w:t>4</w:t>
            </w:r>
          </w:p>
        </w:tc>
        <w:tc>
          <w:tcPr>
            <w:tcW w:w="1192" w:type="dxa"/>
            <w:vMerge w:val="continue"/>
            <w:vAlign w:val="center"/>
          </w:tcPr>
          <w:p>
            <w:pPr>
              <w:widowControl/>
              <w:jc w:val="left"/>
              <w:rPr>
                <w:rFonts w:ascii="宋体" w:hAnsi="宋体"/>
                <w:color w:val="000000"/>
                <w:sz w:val="20"/>
                <w:szCs w:val="20"/>
              </w:rPr>
            </w:pPr>
          </w:p>
        </w:tc>
        <w:tc>
          <w:tcPr>
            <w:tcW w:w="918" w:type="dxa"/>
            <w:vMerge w:val="continue"/>
            <w:vAlign w:val="center"/>
          </w:tcPr>
          <w:p>
            <w:pPr>
              <w:widowControl/>
              <w:jc w:val="left"/>
              <w:rPr>
                <w:rFonts w:ascii="宋体" w:hAnsi="宋体"/>
                <w:color w:val="000000"/>
                <w:sz w:val="20"/>
                <w:szCs w:val="20"/>
              </w:rPr>
            </w:pPr>
          </w:p>
        </w:tc>
        <w:tc>
          <w:tcPr>
            <w:tcW w:w="2120" w:type="dxa"/>
            <w:vMerge w:val="continue"/>
            <w:vAlign w:val="center"/>
          </w:tcPr>
          <w:p>
            <w:pPr>
              <w:widowControl/>
              <w:jc w:val="left"/>
              <w:rPr>
                <w:rFonts w:ascii="宋体" w:hAnsi="宋体"/>
                <w:color w:val="000000"/>
                <w:sz w:val="20"/>
                <w:szCs w:val="20"/>
              </w:rPr>
            </w:pPr>
          </w:p>
        </w:tc>
        <w:tc>
          <w:tcPr>
            <w:tcW w:w="2693" w:type="dxa"/>
            <w:shd w:val="clear" w:color="auto" w:fill="FFFFFF"/>
            <w:tcMar>
              <w:top w:w="12" w:type="dxa"/>
              <w:left w:w="12" w:type="dxa"/>
              <w:bottom w:w="0" w:type="dxa"/>
              <w:right w:w="12" w:type="dxa"/>
            </w:tcMar>
            <w:vAlign w:val="center"/>
          </w:tcPr>
          <w:p>
            <w:pPr>
              <w:widowControl/>
              <w:jc w:val="center"/>
              <w:textAlignment w:val="center"/>
              <w:rPr>
                <w:rFonts w:ascii="宋体" w:hAnsi="宋体"/>
                <w:color w:val="000000"/>
                <w:sz w:val="20"/>
                <w:szCs w:val="20"/>
              </w:rPr>
            </w:pPr>
            <w:r>
              <w:rPr>
                <w:rFonts w:hint="eastAsia" w:ascii="宋体" w:hAnsi="宋体"/>
                <w:color w:val="000000"/>
                <w:sz w:val="20"/>
                <w:szCs w:val="20"/>
              </w:rPr>
              <w:t>辐射防护及环境保护</w:t>
            </w:r>
          </w:p>
        </w:tc>
        <w:tc>
          <w:tcPr>
            <w:tcW w:w="992" w:type="dxa"/>
            <w:vMerge w:val="continue"/>
            <w:vAlign w:val="center"/>
          </w:tcPr>
          <w:p>
            <w:pPr>
              <w:widowControl/>
              <w:jc w:val="left"/>
              <w:rPr>
                <w:rFonts w:ascii="宋体" w:hAnsi="宋体"/>
                <w:color w:val="000000"/>
                <w:sz w:val="20"/>
                <w:szCs w:val="20"/>
              </w:rPr>
            </w:pPr>
          </w:p>
        </w:tc>
      </w:tr>
    </w:tbl>
    <w:p>
      <w:pPr>
        <w:rPr>
          <w:rFonts w:ascii="黑体" w:hAnsi="黑体" w:eastAsia="黑体"/>
          <w:sz w:val="32"/>
          <w:szCs w:val="32"/>
        </w:rPr>
      </w:pPr>
      <w:r>
        <w:rPr>
          <w:rFonts w:hint="eastAsia" w:ascii="黑体" w:hAnsi="黑体" w:eastAsia="黑体"/>
          <w:sz w:val="32"/>
          <w:szCs w:val="32"/>
        </w:rPr>
        <w:t xml:space="preserve"> </w:t>
      </w:r>
    </w:p>
    <w:p>
      <w:pPr>
        <w:spacing w:line="580" w:lineRule="exact"/>
        <w:rPr>
          <w:rFonts w:ascii="仿宋_GB2312" w:hAnsi="黑体" w:eastAsia="仿宋_GB2312" w:cs="宋体"/>
          <w:sz w:val="32"/>
          <w:szCs w:val="32"/>
        </w:rPr>
      </w:pPr>
    </w:p>
    <w:p>
      <w:pPr>
        <w:spacing w:line="580" w:lineRule="exact"/>
        <w:rPr>
          <w:rFonts w:ascii="仿宋_GB2312" w:hAnsi="黑体" w:eastAsia="仿宋_GB2312" w:cs="宋体"/>
          <w:sz w:val="32"/>
          <w:szCs w:val="32"/>
        </w:rPr>
      </w:pPr>
      <w:r>
        <w:rPr>
          <w:rFonts w:hint="eastAsia" w:ascii="仿宋_GB2312" w:hAnsi="黑体" w:eastAsia="仿宋_GB2312" w:cs="宋体"/>
          <w:sz w:val="32"/>
          <w:szCs w:val="32"/>
        </w:rPr>
        <w:t>通信地址：北京市昌平区阳坊镇中心南街37号院</w:t>
      </w:r>
    </w:p>
    <w:p>
      <w:pPr>
        <w:spacing w:line="580" w:lineRule="exact"/>
        <w:rPr>
          <w:rFonts w:ascii="仿宋_GB2312" w:hAnsi="黑体" w:eastAsia="仿宋_GB2312" w:cs="宋体"/>
          <w:sz w:val="32"/>
          <w:szCs w:val="32"/>
        </w:rPr>
      </w:pPr>
      <w:r>
        <w:rPr>
          <w:rFonts w:hint="eastAsia" w:ascii="仿宋_GB2312" w:hAnsi="黑体" w:eastAsia="仿宋_GB2312" w:cs="宋体"/>
          <w:sz w:val="32"/>
          <w:szCs w:val="32"/>
        </w:rPr>
        <w:t>邮政编码：102205</w:t>
      </w:r>
    </w:p>
    <w:p>
      <w:pPr>
        <w:spacing w:line="580" w:lineRule="exact"/>
        <w:rPr>
          <w:rFonts w:ascii="仿宋_GB2312" w:hAnsi="黑体" w:eastAsia="仿宋_GB2312" w:cs="宋体"/>
          <w:sz w:val="32"/>
          <w:szCs w:val="32"/>
        </w:rPr>
      </w:pPr>
      <w:r>
        <w:rPr>
          <w:rFonts w:hint="eastAsia" w:ascii="仿宋_GB2312" w:hAnsi="黑体" w:eastAsia="仿宋_GB2312" w:cs="宋体"/>
          <w:sz w:val="32"/>
          <w:szCs w:val="32"/>
        </w:rPr>
        <w:t>联 系 人：郝参谋</w:t>
      </w:r>
    </w:p>
    <w:p>
      <w:pPr>
        <w:spacing w:line="580" w:lineRule="exact"/>
        <w:rPr>
          <w:rFonts w:ascii="仿宋_GB2312" w:hAnsi="黑体" w:eastAsia="仿宋_GB2312" w:cs="宋体"/>
          <w:sz w:val="32"/>
          <w:szCs w:val="32"/>
        </w:rPr>
      </w:pPr>
      <w:r>
        <w:rPr>
          <w:rFonts w:hint="eastAsia" w:ascii="仿宋_GB2312" w:hAnsi="黑体" w:eastAsia="仿宋_GB2312" w:cs="宋体"/>
          <w:sz w:val="32"/>
          <w:szCs w:val="32"/>
        </w:rPr>
        <w:t>电    话：010-66758036</w:t>
      </w:r>
    </w:p>
    <w:p>
      <w:pPr>
        <w:spacing w:line="580" w:lineRule="exact"/>
        <w:rPr>
          <w:rFonts w:ascii="仿宋_GB2312" w:hAnsi="黑体" w:eastAsia="仿宋_GB2312" w:cs="宋体"/>
          <w:sz w:val="32"/>
          <w:szCs w:val="32"/>
        </w:rPr>
      </w:pPr>
      <w:r>
        <w:rPr>
          <w:rFonts w:hint="eastAsia" w:ascii="仿宋_GB2312" w:hAnsi="黑体" w:eastAsia="仿宋_GB2312" w:cs="宋体"/>
          <w:sz w:val="32"/>
          <w:szCs w:val="32"/>
        </w:rPr>
        <w:t>电子邮箱：</w:t>
      </w:r>
      <w:r>
        <w:fldChar w:fldCharType="begin"/>
      </w:r>
      <w:r>
        <w:instrText xml:space="preserve"> HYPERLINK "mailto:418950820@qq.com" </w:instrText>
      </w:r>
      <w:r>
        <w:fldChar w:fldCharType="separate"/>
      </w:r>
      <w:r>
        <w:rPr>
          <w:rStyle w:val="14"/>
          <w:rFonts w:hint="eastAsia" w:ascii="仿宋_GB2312" w:hAnsi="黑体" w:eastAsia="仿宋_GB2312" w:cs="宋体"/>
          <w:color w:val="auto"/>
          <w:sz w:val="32"/>
          <w:szCs w:val="32"/>
          <w:u w:val="none"/>
        </w:rPr>
        <w:t>418950820@qq.com</w:t>
      </w:r>
      <w:r>
        <w:rPr>
          <w:rStyle w:val="14"/>
          <w:rFonts w:hint="eastAsia" w:ascii="仿宋_GB2312" w:hAnsi="黑体" w:eastAsia="仿宋_GB2312" w:cs="宋体"/>
          <w:color w:val="auto"/>
          <w:sz w:val="32"/>
          <w:szCs w:val="32"/>
          <w:u w:val="none"/>
        </w:rPr>
        <w:fldChar w:fldCharType="end"/>
      </w:r>
    </w:p>
    <w:p>
      <w:pPr>
        <w:spacing w:line="580" w:lineRule="exact"/>
        <w:rPr>
          <w:rFonts w:ascii="仿宋_GB2312" w:hAnsi="黑体" w:eastAsia="仿宋_GB2312" w:cs="宋体"/>
          <w:sz w:val="32"/>
          <w:szCs w:val="32"/>
        </w:rPr>
      </w:pPr>
    </w:p>
    <w:p>
      <w:pPr>
        <w:spacing w:line="580" w:lineRule="exact"/>
        <w:rPr>
          <w:rFonts w:ascii="仿宋_GB2312" w:hAnsi="黑体" w:eastAsia="仿宋_GB2312" w:cs="宋体"/>
          <w:sz w:val="32"/>
          <w:szCs w:val="32"/>
        </w:rPr>
      </w:pPr>
    </w:p>
    <w:sectPr>
      <w:footerReference r:id="rId5" w:type="first"/>
      <w:footerReference r:id="rId3" w:type="default"/>
      <w:footerReference r:id="rId4" w:type="even"/>
      <w:pgSz w:w="11907" w:h="16840"/>
      <w:pgMar w:top="1701" w:right="1474" w:bottom="1701" w:left="1588" w:header="0" w:footer="1134" w:gutter="0"/>
      <w:pgNumType w:start="1" w:chapStyle="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color w:val="FFFFFF"/>
        <w:sz w:val="28"/>
        <w:szCs w:val="28"/>
      </w:rPr>
    </w:pPr>
    <w:r>
      <w:rPr>
        <w:rFonts w:hint="eastAsia"/>
        <w:color w:val="FFFFFF"/>
        <w:sz w:val="28"/>
        <w:szCs w:val="28"/>
      </w:rPr>
      <w:t>—</w:t>
    </w:r>
    <w:r>
      <w:rPr>
        <w:rFonts w:hint="eastAsia" w:ascii="宋体" w:hAnsi="宋体"/>
        <w:color w:val="FFFFFF"/>
        <w:sz w:val="28"/>
        <w:szCs w:val="28"/>
      </w:rPr>
      <w:fldChar w:fldCharType="begin"/>
    </w:r>
    <w:r>
      <w:rPr>
        <w:rFonts w:hint="eastAsia" w:ascii="宋体" w:hAnsi="宋体"/>
        <w:color w:val="FFFFFF"/>
        <w:sz w:val="28"/>
        <w:szCs w:val="28"/>
      </w:rPr>
      <w:instrText xml:space="preserve"> PAGE   \* MERGEFORMAT </w:instrText>
    </w:r>
    <w:r>
      <w:rPr>
        <w:rFonts w:hint="eastAsia" w:ascii="宋体" w:hAnsi="宋体"/>
        <w:color w:val="FFFFFF"/>
        <w:sz w:val="28"/>
        <w:szCs w:val="28"/>
      </w:rPr>
      <w:fldChar w:fldCharType="separate"/>
    </w:r>
    <w:r>
      <w:rPr>
        <w:rFonts w:ascii="宋体" w:hAnsi="宋体"/>
        <w:color w:val="FFFFFF"/>
        <w:sz w:val="28"/>
        <w:szCs w:val="28"/>
        <w:lang w:val="zh-CN"/>
      </w:rPr>
      <w:t>4</w:t>
    </w:r>
    <w:r>
      <w:rPr>
        <w:rFonts w:hint="eastAsia" w:ascii="宋体" w:hAnsi="宋体"/>
        <w:color w:val="FFFFFF"/>
        <w:sz w:val="28"/>
        <w:szCs w:val="28"/>
      </w:rPr>
      <w:fldChar w:fldCharType="end"/>
    </w:r>
    <w:r>
      <w:rPr>
        <w:rFonts w:hint="eastAsia"/>
        <w:color w:val="FFFFFF"/>
        <w:sz w:val="28"/>
        <w:szCs w:val="28"/>
      </w:rPr>
      <w:t>—</w:t>
    </w:r>
  </w:p>
  <w:p>
    <w:pPr>
      <w:pStyle w:val="7"/>
      <w:jc w:val="right"/>
      <w:rPr>
        <w:sz w:val="28"/>
        <w:szCs w:val="28"/>
      </w:rPr>
    </w:pPr>
    <w:r>
      <w:rPr>
        <w:rFonts w:hint="eastAsia"/>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4</w:t>
    </w:r>
    <w:r>
      <w:rPr>
        <w:rFonts w:ascii="宋体" w:hAnsi="宋体"/>
        <w:sz w:val="28"/>
        <w:szCs w:val="28"/>
      </w:rPr>
      <w:fldChar w:fldCharType="end"/>
    </w:r>
    <w:r>
      <w:rPr>
        <w:rFonts w:hint="eastAsia"/>
        <w:sz w:val="28"/>
        <w:szCs w:val="28"/>
      </w:rPr>
      <w:t>—</w:t>
    </w: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both"/>
      <w:rPr>
        <w:sz w:val="28"/>
        <w:szCs w:val="28"/>
      </w:rPr>
    </w:pPr>
    <w:r>
      <w:rPr>
        <w:rFonts w:hint="eastAsia"/>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r>
      <w:rPr>
        <w:rFonts w:hint="eastAsia"/>
        <w:sz w:val="28"/>
        <w:szCs w:val="28"/>
      </w:rPr>
      <w:t>—</w:t>
    </w:r>
  </w:p>
  <w:p>
    <w:pPr>
      <w:pStyle w:val="7"/>
      <w:ind w:right="360"/>
      <w:rPr>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r>
      <w:rPr>
        <w:rFonts w:hint="eastAsia" w:ascii="宋体" w:hAnsi="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attachedTemplate r:id="rId1"/>
  <w:documentProtection w:enforcement="0"/>
  <w:defaultTabStop w:val="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F52"/>
    <w:rsid w:val="00000C23"/>
    <w:rsid w:val="0000211B"/>
    <w:rsid w:val="00006771"/>
    <w:rsid w:val="00021C66"/>
    <w:rsid w:val="00026322"/>
    <w:rsid w:val="0003171B"/>
    <w:rsid w:val="0005476E"/>
    <w:rsid w:val="0006534A"/>
    <w:rsid w:val="000718A8"/>
    <w:rsid w:val="00083FA5"/>
    <w:rsid w:val="00087114"/>
    <w:rsid w:val="000B26A0"/>
    <w:rsid w:val="000C7225"/>
    <w:rsid w:val="000F0710"/>
    <w:rsid w:val="000F5595"/>
    <w:rsid w:val="00112163"/>
    <w:rsid w:val="00117FBF"/>
    <w:rsid w:val="001209D7"/>
    <w:rsid w:val="00134196"/>
    <w:rsid w:val="001343EE"/>
    <w:rsid w:val="00144949"/>
    <w:rsid w:val="0015559E"/>
    <w:rsid w:val="00157F03"/>
    <w:rsid w:val="0017349E"/>
    <w:rsid w:val="00175538"/>
    <w:rsid w:val="00185D78"/>
    <w:rsid w:val="001973E3"/>
    <w:rsid w:val="00197865"/>
    <w:rsid w:val="001A5B59"/>
    <w:rsid w:val="001B0903"/>
    <w:rsid w:val="001B5835"/>
    <w:rsid w:val="001B5E5F"/>
    <w:rsid w:val="001C3405"/>
    <w:rsid w:val="001C3653"/>
    <w:rsid w:val="001C4BE8"/>
    <w:rsid w:val="00234B2E"/>
    <w:rsid w:val="00235371"/>
    <w:rsid w:val="00236D0F"/>
    <w:rsid w:val="002631F0"/>
    <w:rsid w:val="00275ED0"/>
    <w:rsid w:val="0028345D"/>
    <w:rsid w:val="00295747"/>
    <w:rsid w:val="0029624D"/>
    <w:rsid w:val="002A2648"/>
    <w:rsid w:val="002C64EA"/>
    <w:rsid w:val="002D5B2E"/>
    <w:rsid w:val="002E0CA0"/>
    <w:rsid w:val="002E315A"/>
    <w:rsid w:val="002E428A"/>
    <w:rsid w:val="002F6AC6"/>
    <w:rsid w:val="0031218B"/>
    <w:rsid w:val="00321DA3"/>
    <w:rsid w:val="00367598"/>
    <w:rsid w:val="00367CA4"/>
    <w:rsid w:val="00370B3D"/>
    <w:rsid w:val="00392257"/>
    <w:rsid w:val="003953F2"/>
    <w:rsid w:val="00397B78"/>
    <w:rsid w:val="003A4289"/>
    <w:rsid w:val="003C0AFB"/>
    <w:rsid w:val="003C1B9B"/>
    <w:rsid w:val="003C7BC6"/>
    <w:rsid w:val="003D4A95"/>
    <w:rsid w:val="003E52F0"/>
    <w:rsid w:val="003E5B41"/>
    <w:rsid w:val="003F0ACB"/>
    <w:rsid w:val="003F2AD2"/>
    <w:rsid w:val="00404433"/>
    <w:rsid w:val="004100E4"/>
    <w:rsid w:val="00410B11"/>
    <w:rsid w:val="004308AA"/>
    <w:rsid w:val="0044586C"/>
    <w:rsid w:val="004558E7"/>
    <w:rsid w:val="00484708"/>
    <w:rsid w:val="00492F71"/>
    <w:rsid w:val="00494B65"/>
    <w:rsid w:val="00496F85"/>
    <w:rsid w:val="004974FA"/>
    <w:rsid w:val="004A1181"/>
    <w:rsid w:val="004B19D8"/>
    <w:rsid w:val="004B5A40"/>
    <w:rsid w:val="004B6917"/>
    <w:rsid w:val="004D14A5"/>
    <w:rsid w:val="004E5B49"/>
    <w:rsid w:val="004F7EDF"/>
    <w:rsid w:val="0055127E"/>
    <w:rsid w:val="00556B0A"/>
    <w:rsid w:val="00570951"/>
    <w:rsid w:val="0057205B"/>
    <w:rsid w:val="00584BA3"/>
    <w:rsid w:val="00596ECD"/>
    <w:rsid w:val="005B225D"/>
    <w:rsid w:val="005B5713"/>
    <w:rsid w:val="005C544D"/>
    <w:rsid w:val="005D5979"/>
    <w:rsid w:val="005D6721"/>
    <w:rsid w:val="005D6A63"/>
    <w:rsid w:val="0061226E"/>
    <w:rsid w:val="0061704E"/>
    <w:rsid w:val="00622793"/>
    <w:rsid w:val="00624403"/>
    <w:rsid w:val="00625D88"/>
    <w:rsid w:val="00642A2C"/>
    <w:rsid w:val="00643C5A"/>
    <w:rsid w:val="006479B3"/>
    <w:rsid w:val="00650FA4"/>
    <w:rsid w:val="00654EE5"/>
    <w:rsid w:val="006701F4"/>
    <w:rsid w:val="00677C76"/>
    <w:rsid w:val="006B5CA0"/>
    <w:rsid w:val="006D25D8"/>
    <w:rsid w:val="006E17E2"/>
    <w:rsid w:val="006E667F"/>
    <w:rsid w:val="00702B5D"/>
    <w:rsid w:val="007030D3"/>
    <w:rsid w:val="0070374E"/>
    <w:rsid w:val="00721A20"/>
    <w:rsid w:val="007238CD"/>
    <w:rsid w:val="0073607E"/>
    <w:rsid w:val="007506E0"/>
    <w:rsid w:val="007554B6"/>
    <w:rsid w:val="00773474"/>
    <w:rsid w:val="00775AAB"/>
    <w:rsid w:val="00776516"/>
    <w:rsid w:val="007A0F65"/>
    <w:rsid w:val="007A3B60"/>
    <w:rsid w:val="007B706E"/>
    <w:rsid w:val="007C665D"/>
    <w:rsid w:val="007D5B9B"/>
    <w:rsid w:val="007D6AAA"/>
    <w:rsid w:val="007E36D6"/>
    <w:rsid w:val="007F0201"/>
    <w:rsid w:val="007F03BF"/>
    <w:rsid w:val="007F7597"/>
    <w:rsid w:val="00810977"/>
    <w:rsid w:val="008336E0"/>
    <w:rsid w:val="00836670"/>
    <w:rsid w:val="00856CAB"/>
    <w:rsid w:val="00870FE2"/>
    <w:rsid w:val="00873E9C"/>
    <w:rsid w:val="008A587D"/>
    <w:rsid w:val="008C6A11"/>
    <w:rsid w:val="008E5ADB"/>
    <w:rsid w:val="008F309C"/>
    <w:rsid w:val="00904057"/>
    <w:rsid w:val="00914B6C"/>
    <w:rsid w:val="00917E7C"/>
    <w:rsid w:val="00923065"/>
    <w:rsid w:val="00957231"/>
    <w:rsid w:val="00972D68"/>
    <w:rsid w:val="00972FCC"/>
    <w:rsid w:val="00990D22"/>
    <w:rsid w:val="009B74B5"/>
    <w:rsid w:val="009E6D23"/>
    <w:rsid w:val="009E7072"/>
    <w:rsid w:val="00A048A7"/>
    <w:rsid w:val="00A13F18"/>
    <w:rsid w:val="00A14FED"/>
    <w:rsid w:val="00A22E27"/>
    <w:rsid w:val="00A25790"/>
    <w:rsid w:val="00A42082"/>
    <w:rsid w:val="00A4723D"/>
    <w:rsid w:val="00A47AD9"/>
    <w:rsid w:val="00A67FB6"/>
    <w:rsid w:val="00A80D6A"/>
    <w:rsid w:val="00A908B8"/>
    <w:rsid w:val="00A92E83"/>
    <w:rsid w:val="00A964B7"/>
    <w:rsid w:val="00AA3E0C"/>
    <w:rsid w:val="00AB35D5"/>
    <w:rsid w:val="00AC720B"/>
    <w:rsid w:val="00AE2BE6"/>
    <w:rsid w:val="00AF690D"/>
    <w:rsid w:val="00B231E1"/>
    <w:rsid w:val="00B2692F"/>
    <w:rsid w:val="00B35D2F"/>
    <w:rsid w:val="00B377D3"/>
    <w:rsid w:val="00B4377F"/>
    <w:rsid w:val="00B50AE2"/>
    <w:rsid w:val="00B51678"/>
    <w:rsid w:val="00B721A3"/>
    <w:rsid w:val="00B84E79"/>
    <w:rsid w:val="00B85C1C"/>
    <w:rsid w:val="00B86903"/>
    <w:rsid w:val="00BA1DC8"/>
    <w:rsid w:val="00BA737D"/>
    <w:rsid w:val="00BF5AD9"/>
    <w:rsid w:val="00C10B94"/>
    <w:rsid w:val="00C20913"/>
    <w:rsid w:val="00C21C12"/>
    <w:rsid w:val="00C23FFE"/>
    <w:rsid w:val="00C37E6C"/>
    <w:rsid w:val="00C47253"/>
    <w:rsid w:val="00C505F7"/>
    <w:rsid w:val="00C663EC"/>
    <w:rsid w:val="00C77FD0"/>
    <w:rsid w:val="00C804D6"/>
    <w:rsid w:val="00C840DB"/>
    <w:rsid w:val="00CA58AB"/>
    <w:rsid w:val="00CA786A"/>
    <w:rsid w:val="00CA7C6E"/>
    <w:rsid w:val="00CB09F9"/>
    <w:rsid w:val="00CB5247"/>
    <w:rsid w:val="00CC0AE1"/>
    <w:rsid w:val="00CC4FA7"/>
    <w:rsid w:val="00CD0B9C"/>
    <w:rsid w:val="00CD76F3"/>
    <w:rsid w:val="00D20AB7"/>
    <w:rsid w:val="00D34D35"/>
    <w:rsid w:val="00D56126"/>
    <w:rsid w:val="00D80F2C"/>
    <w:rsid w:val="00D83609"/>
    <w:rsid w:val="00D90B04"/>
    <w:rsid w:val="00D930DD"/>
    <w:rsid w:val="00D95B9A"/>
    <w:rsid w:val="00DA25F3"/>
    <w:rsid w:val="00DC08A4"/>
    <w:rsid w:val="00DC3869"/>
    <w:rsid w:val="00DF0042"/>
    <w:rsid w:val="00E04A41"/>
    <w:rsid w:val="00E1286E"/>
    <w:rsid w:val="00E218F1"/>
    <w:rsid w:val="00E47F07"/>
    <w:rsid w:val="00E659F2"/>
    <w:rsid w:val="00E8221F"/>
    <w:rsid w:val="00E83E18"/>
    <w:rsid w:val="00E97DFF"/>
    <w:rsid w:val="00EA0D0A"/>
    <w:rsid w:val="00EA5256"/>
    <w:rsid w:val="00EA61BD"/>
    <w:rsid w:val="00EB1989"/>
    <w:rsid w:val="00EC4A57"/>
    <w:rsid w:val="00EE0412"/>
    <w:rsid w:val="00EF4A6B"/>
    <w:rsid w:val="00F01BBB"/>
    <w:rsid w:val="00F131E9"/>
    <w:rsid w:val="00F200E1"/>
    <w:rsid w:val="00F211CB"/>
    <w:rsid w:val="00F243A8"/>
    <w:rsid w:val="00F3181A"/>
    <w:rsid w:val="00F41E59"/>
    <w:rsid w:val="00F42428"/>
    <w:rsid w:val="00F479E0"/>
    <w:rsid w:val="00F65D8F"/>
    <w:rsid w:val="00FB062A"/>
    <w:rsid w:val="00FC149D"/>
    <w:rsid w:val="00FC4357"/>
    <w:rsid w:val="00FC5947"/>
    <w:rsid w:val="00FD1F52"/>
    <w:rsid w:val="00FE1C53"/>
    <w:rsid w:val="00FE4396"/>
    <w:rsid w:val="00FF1842"/>
    <w:rsid w:val="00FF32FA"/>
    <w:rsid w:val="02B90357"/>
    <w:rsid w:val="0BB90EC5"/>
    <w:rsid w:val="0D7B6818"/>
    <w:rsid w:val="16D907D3"/>
    <w:rsid w:val="3BC82CB3"/>
    <w:rsid w:val="585E4CE9"/>
    <w:rsid w:val="6B7B50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name="Body Text"/>
    <w:lsdException w:qFormat="1"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0" w:semiHidden="0"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uiPriority w:val="0"/>
    <w:pPr>
      <w:spacing w:line="580" w:lineRule="exact"/>
      <w:textAlignment w:val="center"/>
    </w:pPr>
    <w:rPr>
      <w:rFonts w:ascii="仿宋_GB2312" w:hAnsi="宋体" w:eastAsia="仿宋_GB2312"/>
      <w:spacing w:val="-6"/>
      <w:sz w:val="32"/>
      <w:szCs w:val="32"/>
    </w:rPr>
  </w:style>
  <w:style w:type="paragraph" w:styleId="3">
    <w:name w:val="Body Text Indent"/>
    <w:basedOn w:val="1"/>
    <w:semiHidden/>
    <w:qFormat/>
    <w:uiPriority w:val="0"/>
    <w:pPr>
      <w:spacing w:line="580" w:lineRule="exact"/>
      <w:ind w:firstLine="640" w:firstLineChars="200"/>
    </w:pPr>
    <w:rPr>
      <w:rFonts w:ascii="宋体" w:hAnsi="宋体"/>
      <w:sz w:val="32"/>
      <w:szCs w:val="32"/>
    </w:rPr>
  </w:style>
  <w:style w:type="paragraph" w:styleId="4">
    <w:name w:val="Plain Text"/>
    <w:basedOn w:val="1"/>
    <w:semiHidden/>
    <w:uiPriority w:val="0"/>
    <w:rPr>
      <w:rFonts w:ascii="宋体" w:hAnsi="Courier New"/>
      <w:szCs w:val="20"/>
    </w:rPr>
  </w:style>
  <w:style w:type="paragraph" w:styleId="5">
    <w:name w:val="Date"/>
    <w:basedOn w:val="1"/>
    <w:next w:val="1"/>
    <w:semiHidden/>
    <w:uiPriority w:val="0"/>
    <w:rPr>
      <w:rFonts w:eastAsia="仿宋_GB2312"/>
      <w:sz w:val="32"/>
      <w:szCs w:val="20"/>
    </w:rPr>
  </w:style>
  <w:style w:type="paragraph" w:styleId="6">
    <w:name w:val="Balloon Text"/>
    <w:basedOn w:val="1"/>
    <w:link w:val="18"/>
    <w:unhideWhenUsed/>
    <w:uiPriority w:val="99"/>
    <w:rPr>
      <w:sz w:val="18"/>
      <w:szCs w:val="18"/>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header"/>
    <w:basedOn w:val="1"/>
    <w:semiHidden/>
    <w:uiPriority w:val="0"/>
    <w:pPr>
      <w:pBdr>
        <w:bottom w:val="single" w:color="auto" w:sz="6" w:space="1"/>
      </w:pBdr>
      <w:tabs>
        <w:tab w:val="center" w:pos="4153"/>
        <w:tab w:val="right" w:pos="8306"/>
      </w:tabs>
      <w:snapToGrid w:val="0"/>
      <w:jc w:val="center"/>
    </w:pPr>
    <w:rPr>
      <w:sz w:val="18"/>
      <w:szCs w:val="18"/>
    </w:rPr>
  </w:style>
  <w:style w:type="paragraph" w:styleId="9">
    <w:name w:val="Body Text Indent 3"/>
    <w:basedOn w:val="1"/>
    <w:unhideWhenUsed/>
    <w:uiPriority w:val="0"/>
    <w:pPr>
      <w:spacing w:after="120"/>
      <w:ind w:left="420" w:leftChars="200"/>
    </w:pPr>
    <w:rPr>
      <w:sz w:val="16"/>
      <w:szCs w:val="16"/>
    </w:rPr>
  </w:style>
  <w:style w:type="table" w:styleId="11">
    <w:name w:val="Table Grid"/>
    <w:basedOn w:val="10"/>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basedOn w:val="12"/>
    <w:semiHidden/>
    <w:qFormat/>
    <w:uiPriority w:val="0"/>
  </w:style>
  <w:style w:type="character" w:styleId="14">
    <w:name w:val="Hyperlink"/>
    <w:basedOn w:val="12"/>
    <w:unhideWhenUsed/>
    <w:uiPriority w:val="99"/>
    <w:rPr>
      <w:color w:val="0563C1" w:themeColor="hyperlink"/>
      <w:u w:val="single"/>
      <w14:textFill>
        <w14:solidFill>
          <w14:schemeClr w14:val="hlink"/>
        </w14:solidFill>
      </w14:textFill>
    </w:rPr>
  </w:style>
  <w:style w:type="character" w:customStyle="1" w:styleId="15">
    <w:name w:val="正文文本缩进 3 Char"/>
    <w:qFormat/>
    <w:uiPriority w:val="0"/>
    <w:rPr>
      <w:kern w:val="2"/>
      <w:sz w:val="16"/>
      <w:szCs w:val="16"/>
    </w:rPr>
  </w:style>
  <w:style w:type="character" w:customStyle="1" w:styleId="16">
    <w:name w:val="页脚 Char"/>
    <w:qFormat/>
    <w:uiPriority w:val="99"/>
    <w:rPr>
      <w:kern w:val="2"/>
      <w:sz w:val="18"/>
      <w:szCs w:val="18"/>
    </w:rPr>
  </w:style>
  <w:style w:type="character" w:customStyle="1" w:styleId="17">
    <w:name w:val="页眉 Char"/>
    <w:semiHidden/>
    <w:qFormat/>
    <w:uiPriority w:val="0"/>
    <w:rPr>
      <w:kern w:val="2"/>
      <w:sz w:val="18"/>
      <w:szCs w:val="18"/>
    </w:rPr>
  </w:style>
  <w:style w:type="character" w:customStyle="1" w:styleId="18">
    <w:name w:val="批注框文本 字符"/>
    <w:link w:val="6"/>
    <w:semiHidden/>
    <w:qFormat/>
    <w:uiPriority w:val="99"/>
    <w:rPr>
      <w:kern w:val="2"/>
      <w:sz w:val="18"/>
      <w:szCs w:val="18"/>
    </w:rPr>
  </w:style>
  <w:style w:type="paragraph" w:customStyle="1" w:styleId="19">
    <w:name w:val="样式1"/>
    <w:basedOn w:val="1"/>
    <w:uiPriority w:val="0"/>
    <w:pPr>
      <w:widowControl/>
      <w:snapToGrid w:val="0"/>
      <w:spacing w:line="560" w:lineRule="atLeast"/>
      <w:jc w:val="left"/>
    </w:pPr>
    <w:rPr>
      <w:rFonts w:eastAsia="仿宋_GB2312"/>
      <w:kern w:val="0"/>
      <w:sz w:val="32"/>
      <w:szCs w:val="20"/>
    </w:rPr>
  </w:style>
  <w:style w:type="character" w:customStyle="1" w:styleId="20">
    <w:name w:val="fontstyle01"/>
    <w:qFormat/>
    <w:uiPriority w:val="0"/>
    <w:rPr>
      <w:rFonts w:hint="eastAsia" w:ascii="华文细黑" w:hAnsi="华文细黑" w:eastAsia="华文细黑"/>
      <w:color w:val="000000"/>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png"/><Relationship Id="rId14" Type="http://schemas.openxmlformats.org/officeDocument/2006/relationships/image" Target="media/image8.jpeg"/><Relationship Id="rId13" Type="http://schemas.openxmlformats.org/officeDocument/2006/relationships/image" Target="media/image7.png"/><Relationship Id="rId12" Type="http://schemas.openxmlformats.org/officeDocument/2006/relationships/image" Target="media/image6.jpe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E:\&#20844;&#25991;&#27169;&#26495;\&#38498;&#25919;&#27835;&#37096;&#12289;&#38498;&#21153;&#37096;&#32852;&#21512;&#21457;&#25991;&#65288;&#19979;&#34892;&#25991;&#65289;.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ABA5680-53EE-4A9F-BBC7-04A8BEB1CDCD}">
  <ds:schemaRefs/>
</ds:datastoreItem>
</file>

<file path=docProps/app.xml><?xml version="1.0" encoding="utf-8"?>
<Properties xmlns="http://schemas.openxmlformats.org/officeDocument/2006/extended-properties" xmlns:vt="http://schemas.openxmlformats.org/officeDocument/2006/docPropsVTypes">
  <Template>院政治部、院务部联合发文（下行文）</Template>
  <Company>jujumao</Company>
  <Pages>5</Pages>
  <Words>175</Words>
  <Characters>1003</Characters>
  <Lines>8</Lines>
  <Paragraphs>2</Paragraphs>
  <TotalTime>242</TotalTime>
  <ScaleCrop>false</ScaleCrop>
  <LinksUpToDate>false</LinksUpToDate>
  <CharactersWithSpaces>1176</CharactersWithSpaces>
  <Application>WPS Office_11.1.0.13607_F1E327BC-269C-435d-A152-05C5408002CA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2019-07-08T09:15:00Z</dcterms:created>
  <dc:creator>user</dc:creator>
  <cp:lastModifiedBy>fanll</cp:lastModifiedBy>
  <cp:lastPrinted>2019-07-11T06:47:00Z</cp:lastPrinted>
  <dcterms:modified xsi:type="dcterms:W3CDTF">2022-11-25T08:16:34Z</dcterms:modified>
  <dc:title>15                                         秘  密</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2052-11.1.0.13607</vt:lpwstr>
  </property>
  <property fmtid="{D5CDD505-2E9C-101B-9397-08002B2CF9AE}" pid="3" name="ICV">
    <vt:lpwstr>3F28F58958DD40629320C7B6DDCBD055</vt:lpwstr>
  </property>
</Properties>
</file>