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附件4</w:t>
      </w:r>
    </w:p>
    <w:p>
      <w:pPr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2017年广东省“三支一扶”高校毕业生量化测评标准表</w:t>
      </w:r>
    </w:p>
    <w:tbl>
      <w:tblPr>
        <w:tblStyle w:val="6"/>
        <w:tblW w:w="97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28"/>
        <w:gridCol w:w="767"/>
        <w:gridCol w:w="2967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4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序号</w:t>
            </w:r>
          </w:p>
        </w:tc>
        <w:tc>
          <w:tcPr>
            <w:tcW w:w="12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条件</w:t>
            </w:r>
          </w:p>
        </w:tc>
        <w:tc>
          <w:tcPr>
            <w:tcW w:w="37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内容及分值</w:t>
            </w:r>
          </w:p>
        </w:tc>
        <w:tc>
          <w:tcPr>
            <w:tcW w:w="42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</w:t>
            </w:r>
          </w:p>
        </w:tc>
        <w:tc>
          <w:tcPr>
            <w:tcW w:w="12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专业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相关性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（40分）</w:t>
            </w:r>
          </w:p>
        </w:tc>
        <w:tc>
          <w:tcPr>
            <w:tcW w:w="3734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专业与岗位需求专业完全相符（40分）；专业与岗位需求专业属同一二级学科目录（30分）</w:t>
            </w:r>
          </w:p>
        </w:tc>
        <w:tc>
          <w:tcPr>
            <w:tcW w:w="4284" w:type="dxa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1.满分40分，只取最高分，不累计加分。</w:t>
            </w:r>
          </w:p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2.“专业”为毕业证或学位证上专业，包括毕业证或学位证上的“培养方向”。</w:t>
            </w:r>
          </w:p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3.岗位需求专业为“不限”的，不加分。</w:t>
            </w:r>
          </w:p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4.专业与岗位需求专业不在同一二级学科目录的，不可报该岗位。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</w:t>
            </w:r>
          </w:p>
        </w:tc>
        <w:tc>
          <w:tcPr>
            <w:tcW w:w="122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学历层次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（20分）</w:t>
            </w:r>
          </w:p>
        </w:tc>
        <w:tc>
          <w:tcPr>
            <w:tcW w:w="76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学历</w:t>
            </w:r>
          </w:p>
        </w:tc>
        <w:tc>
          <w:tcPr>
            <w:tcW w:w="296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研究生（15分）；本科（12分）；大专（10分）</w:t>
            </w:r>
          </w:p>
        </w:tc>
        <w:tc>
          <w:tcPr>
            <w:tcW w:w="4284" w:type="dxa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1.满分15分，只取最高分，不累计加分。</w:t>
            </w:r>
          </w:p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2.学历指全日制普通高等教育学历。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学位</w:t>
            </w:r>
          </w:p>
        </w:tc>
        <w:tc>
          <w:tcPr>
            <w:tcW w:w="296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博士（5分）；硕士（3分）；一个学士学位（2分）</w:t>
            </w:r>
          </w:p>
        </w:tc>
        <w:tc>
          <w:tcPr>
            <w:tcW w:w="4284" w:type="dxa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满分5分，不累计加分。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3</w:t>
            </w:r>
          </w:p>
        </w:tc>
        <w:tc>
          <w:tcPr>
            <w:tcW w:w="12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生源地为所报岗位所在地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（20分）</w:t>
            </w:r>
          </w:p>
        </w:tc>
        <w:tc>
          <w:tcPr>
            <w:tcW w:w="3734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生源地与所报岗位在同一乡镇（街道）（20分）；生源地与所报岗位在同一县（市、区）（15分）；生源地与所报岗位在同一地级市（10分）</w:t>
            </w:r>
          </w:p>
        </w:tc>
        <w:tc>
          <w:tcPr>
            <w:tcW w:w="4284" w:type="dxa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满分20分，只取最高分，不累计加分。</w:t>
            </w:r>
          </w:p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4</w:t>
            </w:r>
          </w:p>
        </w:tc>
        <w:tc>
          <w:tcPr>
            <w:tcW w:w="12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在高校期间获得校级以上荣誉（5分）</w:t>
            </w:r>
          </w:p>
        </w:tc>
        <w:tc>
          <w:tcPr>
            <w:tcW w:w="3734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获得省级以上荣誉（5分）；获得市级以上荣誉（3分）；获得校级以上荣誉（1分）</w:t>
            </w:r>
          </w:p>
        </w:tc>
        <w:tc>
          <w:tcPr>
            <w:tcW w:w="4284" w:type="dxa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满分5分，只取最高分，不累计加分。</w:t>
            </w:r>
          </w:p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“在高校期间获得校级以上荣誉”包括在高校获省级、市级、校级优秀学生（只含优秀学生干部、三好学生、优秀毕业生荣誉称号），以提供的证书为准（所盖公章须与颁发单位一致，不包括二级学院或院系所发证书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5</w:t>
            </w:r>
          </w:p>
        </w:tc>
        <w:tc>
          <w:tcPr>
            <w:tcW w:w="12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应届生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（3分）</w:t>
            </w:r>
          </w:p>
        </w:tc>
        <w:tc>
          <w:tcPr>
            <w:tcW w:w="3734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应届生（包括申请了暂缓就业的往届生的）（3分）</w:t>
            </w:r>
          </w:p>
        </w:tc>
        <w:tc>
          <w:tcPr>
            <w:tcW w:w="4284" w:type="dxa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满分3分。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4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6</w:t>
            </w:r>
          </w:p>
        </w:tc>
        <w:tc>
          <w:tcPr>
            <w:tcW w:w="12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少数民族（3分）</w:t>
            </w:r>
          </w:p>
        </w:tc>
        <w:tc>
          <w:tcPr>
            <w:tcW w:w="3734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少数民族人员（3分）</w:t>
            </w:r>
          </w:p>
        </w:tc>
        <w:tc>
          <w:tcPr>
            <w:tcW w:w="4284" w:type="dxa"/>
            <w:vAlign w:val="center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满分3分。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7</w:t>
            </w:r>
          </w:p>
        </w:tc>
        <w:tc>
          <w:tcPr>
            <w:tcW w:w="12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零就业家庭（3分）</w:t>
            </w:r>
          </w:p>
        </w:tc>
        <w:tc>
          <w:tcPr>
            <w:tcW w:w="3734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零就业家庭（3分）</w:t>
            </w:r>
          </w:p>
        </w:tc>
        <w:tc>
          <w:tcPr>
            <w:tcW w:w="4284" w:type="dxa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满分3分。由户籍所在地公共就业人才服务机构开具证明。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8</w:t>
            </w:r>
          </w:p>
        </w:tc>
        <w:tc>
          <w:tcPr>
            <w:tcW w:w="12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师范生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（3分）</w:t>
            </w:r>
          </w:p>
        </w:tc>
        <w:tc>
          <w:tcPr>
            <w:tcW w:w="3734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师范生（3分）</w:t>
            </w:r>
          </w:p>
        </w:tc>
        <w:tc>
          <w:tcPr>
            <w:tcW w:w="4284" w:type="dxa"/>
            <w:vAlign w:val="center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满分3分,非支教岗位不加分。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4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9</w:t>
            </w:r>
          </w:p>
        </w:tc>
        <w:tc>
          <w:tcPr>
            <w:tcW w:w="12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资格证书（3分）</w:t>
            </w:r>
          </w:p>
        </w:tc>
        <w:tc>
          <w:tcPr>
            <w:tcW w:w="3734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支医的取得执业助理医师资格证（2分）、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 w:ascii="宋体" w:hAnsi="宋体" w:eastAsia="宋体" w:cs="仿宋"/>
                <w:szCs w:val="21"/>
              </w:rPr>
              <w:t>执业医师资格证（3分）；支教的取得教师资格证（3分）</w:t>
            </w:r>
          </w:p>
        </w:tc>
        <w:tc>
          <w:tcPr>
            <w:tcW w:w="4284" w:type="dxa"/>
          </w:tcPr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满分3分，只取最高分，不累计加分。</w:t>
            </w:r>
          </w:p>
          <w:p>
            <w:pPr>
              <w:spacing w:line="0" w:lineRule="atLeast"/>
              <w:rPr>
                <w:rFonts w:ascii="宋体" w:hAnsi="宋体" w:eastAsia="宋体" w:cs="仿宋"/>
                <w:szCs w:val="21"/>
              </w:rPr>
            </w:pPr>
          </w:p>
        </w:tc>
      </w:tr>
    </w:tbl>
    <w:p>
      <w:pPr>
        <w:spacing w:before="156" w:beforeLines="50" w:line="360" w:lineRule="exact"/>
        <w:ind w:left="-210" w:leftChars="-1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说明：1.报支教岗位的，须为师范生或具有教师资格证。</w:t>
      </w:r>
    </w:p>
    <w:p>
      <w:pPr>
        <w:spacing w:line="360" w:lineRule="exact"/>
        <w:ind w:left="-210" w:leftChars="-1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      2.报支医岗位的，须为医学院校或医学类专业毕业生。</w:t>
      </w:r>
    </w:p>
    <w:p>
      <w:pPr>
        <w:spacing w:line="360" w:lineRule="exact"/>
        <w:ind w:left="-210" w:leftChars="-100" w:right="-428" w:rightChars="-204"/>
        <w:rPr>
          <w:rFonts w:ascii="宋体" w:hAnsi="宋体" w:eastAsia="宋体"/>
        </w:rPr>
      </w:pPr>
      <w:r>
        <w:rPr>
          <w:rFonts w:hint="eastAsia" w:ascii="宋体" w:hAnsi="宋体" w:eastAsia="宋体" w:cs="仿宋"/>
          <w:szCs w:val="21"/>
        </w:rPr>
        <w:t xml:space="preserve">      3.该测评标准根据“三支一扶”项目服务基层的特点和招募原则，将专业（占40%）、学历层次（学历占15%、学位占5%）、本地生源（占20%）、在校期间获得荣誉（占5%）、应届生（占3%）、少数民族生源（占3%）、零就业家庭（占3%）、师范生（占3%）、相关资格证书（占3%）等九项作为测评标准，由系统自动测评。</w:t>
      </w:r>
    </w:p>
    <w:p>
      <w:pPr>
        <w:spacing w:line="0" w:lineRule="atLeast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93"/>
    <w:rsid w:val="001A3580"/>
    <w:rsid w:val="001D0193"/>
    <w:rsid w:val="001E0593"/>
    <w:rsid w:val="00342026"/>
    <w:rsid w:val="00361109"/>
    <w:rsid w:val="00505505"/>
    <w:rsid w:val="00572102"/>
    <w:rsid w:val="006F7CCF"/>
    <w:rsid w:val="007771C8"/>
    <w:rsid w:val="00885B4B"/>
    <w:rsid w:val="008A7061"/>
    <w:rsid w:val="00963B2C"/>
    <w:rsid w:val="009D772C"/>
    <w:rsid w:val="00BB7117"/>
    <w:rsid w:val="00C5031A"/>
    <w:rsid w:val="00CD0973"/>
    <w:rsid w:val="00EE3385"/>
    <w:rsid w:val="2378021E"/>
    <w:rsid w:val="77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5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 w:cs="黑体"/>
      <w:sz w:val="32"/>
      <w:szCs w:val="24"/>
    </w:rPr>
  </w:style>
  <w:style w:type="character" w:customStyle="1" w:styleId="9">
    <w:name w:val="图片标题 Exact"/>
    <w:basedOn w:val="5"/>
    <w:link w:val="10"/>
    <w:qFormat/>
    <w:uiPriority w:val="0"/>
    <w:rPr>
      <w:rFonts w:ascii="宋体" w:hAnsi="宋体" w:eastAsia="宋体" w:cs="宋体"/>
      <w:spacing w:val="30"/>
      <w:sz w:val="22"/>
      <w:shd w:val="clear" w:color="auto" w:fill="FFFFFF"/>
    </w:rPr>
  </w:style>
  <w:style w:type="paragraph" w:customStyle="1" w:styleId="10">
    <w:name w:val="图片标题"/>
    <w:basedOn w:val="1"/>
    <w:link w:val="9"/>
    <w:qFormat/>
    <w:uiPriority w:val="0"/>
    <w:pPr>
      <w:shd w:val="clear" w:color="auto" w:fill="FFFFFF"/>
      <w:spacing w:line="0" w:lineRule="atLeast"/>
      <w:jc w:val="left"/>
    </w:pPr>
    <w:rPr>
      <w:rFonts w:ascii="宋体" w:hAnsi="宋体" w:eastAsia="宋体" w:cs="宋体"/>
      <w:spacing w:val="30"/>
      <w:sz w:val="22"/>
    </w:rPr>
  </w:style>
  <w:style w:type="character" w:customStyle="1" w:styleId="11">
    <w:name w:val="图片标题 (2) Exact"/>
    <w:basedOn w:val="5"/>
    <w:link w:val="12"/>
    <w:qFormat/>
    <w:uiPriority w:val="0"/>
    <w:rPr>
      <w:rFonts w:ascii="Arial Narrow" w:hAnsi="Arial Narrow" w:eastAsia="Arial Narrow" w:cs="Arial Narrow"/>
      <w:b/>
      <w:bCs/>
      <w:w w:val="80"/>
      <w:shd w:val="clear" w:color="auto" w:fill="FFFFFF"/>
      <w:lang w:eastAsia="en-US" w:bidi="en-US"/>
    </w:rPr>
  </w:style>
  <w:style w:type="paragraph" w:customStyle="1" w:styleId="12">
    <w:name w:val="图片标题 (2)"/>
    <w:basedOn w:val="1"/>
    <w:link w:val="11"/>
    <w:qFormat/>
    <w:uiPriority w:val="0"/>
    <w:pPr>
      <w:shd w:val="clear" w:color="auto" w:fill="FFFFFF"/>
      <w:spacing w:line="0" w:lineRule="atLeast"/>
      <w:jc w:val="left"/>
    </w:pPr>
    <w:rPr>
      <w:rFonts w:ascii="Arial Narrow" w:hAnsi="Arial Narrow" w:eastAsia="Arial Narrow" w:cs="Arial Narrow"/>
      <w:b/>
      <w:bCs/>
      <w:w w:val="80"/>
      <w:lang w:eastAsia="en-US" w:bidi="en-US"/>
    </w:rPr>
  </w:style>
  <w:style w:type="character" w:customStyle="1" w:styleId="13">
    <w:name w:val="图片标题 (2) + Calibri"/>
    <w:basedOn w:val="11"/>
    <w:qFormat/>
    <w:uiPriority w:val="0"/>
    <w:rPr>
      <w:rFonts w:ascii="Calibri" w:hAnsi="Calibri" w:eastAsia="Calibri" w:cs="Calibri"/>
      <w:color w:val="000000"/>
      <w:spacing w:val="0"/>
      <w:w w:val="100"/>
      <w:position w:val="0"/>
      <w:sz w:val="8"/>
      <w:szCs w:val="8"/>
      <w:shd w:val="clear" w:color="auto" w:fill="FFFFFF"/>
      <w:lang w:eastAsia="en-US" w:bidi="en-US"/>
    </w:rPr>
  </w:style>
  <w:style w:type="character" w:customStyle="1" w:styleId="14">
    <w:name w:val="图片标题 (3) Exact"/>
    <w:basedOn w:val="5"/>
    <w:link w:val="15"/>
    <w:qFormat/>
    <w:uiPriority w:val="0"/>
    <w:rPr>
      <w:rFonts w:ascii="宋体" w:hAnsi="宋体" w:eastAsia="宋体" w:cs="宋体"/>
      <w:spacing w:val="20"/>
      <w:szCs w:val="21"/>
      <w:shd w:val="clear" w:color="auto" w:fill="FFFFFF"/>
    </w:rPr>
  </w:style>
  <w:style w:type="paragraph" w:customStyle="1" w:styleId="15">
    <w:name w:val="图片标题 (3)"/>
    <w:basedOn w:val="1"/>
    <w:link w:val="14"/>
    <w:qFormat/>
    <w:uiPriority w:val="0"/>
    <w:pPr>
      <w:shd w:val="clear" w:color="auto" w:fill="FFFFFF"/>
      <w:spacing w:line="0" w:lineRule="atLeast"/>
      <w:jc w:val="left"/>
    </w:pPr>
    <w:rPr>
      <w:rFonts w:ascii="宋体" w:hAnsi="宋体" w:eastAsia="宋体" w:cs="宋体"/>
      <w:spacing w:val="20"/>
      <w:szCs w:val="21"/>
    </w:rPr>
  </w:style>
  <w:style w:type="character" w:customStyle="1" w:styleId="16">
    <w:name w:val="正文文本 (2)_"/>
    <w:basedOn w:val="5"/>
    <w:qFormat/>
    <w:uiPriority w:val="0"/>
    <w:rPr>
      <w:rFonts w:ascii="宋体" w:hAnsi="宋体" w:eastAsia="宋体" w:cs="宋体"/>
      <w:sz w:val="28"/>
      <w:szCs w:val="28"/>
      <w:u w:val="none"/>
    </w:rPr>
  </w:style>
  <w:style w:type="character" w:customStyle="1" w:styleId="17">
    <w:name w:val="正文文本 (2) + 间距 3 pt"/>
    <w:basedOn w:val="16"/>
    <w:qFormat/>
    <w:uiPriority w:val="0"/>
    <w:rPr>
      <w:rFonts w:ascii="宋体" w:hAnsi="宋体" w:eastAsia="宋体" w:cs="宋体"/>
      <w:color w:val="000000"/>
      <w:spacing w:val="7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8">
    <w:name w:val="正文文本 (2)"/>
    <w:basedOn w:val="16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9">
    <w:name w:val="正文文本 (2) + 12 pt"/>
    <w:basedOn w:val="16"/>
    <w:qFormat/>
    <w:uiPriority w:val="0"/>
    <w:rPr>
      <w:rFonts w:ascii="宋体" w:hAnsi="宋体" w:eastAsia="宋体" w:cs="宋体"/>
      <w:b/>
      <w:bCs/>
      <w:color w:val="000000"/>
      <w:spacing w:val="-1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0">
    <w:name w:val="正文文本 (2) + 10 pt"/>
    <w:basedOn w:val="16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">
    <w:name w:val="页眉或页脚_"/>
    <w:basedOn w:val="5"/>
    <w:link w:val="22"/>
    <w:qFormat/>
    <w:uiPriority w:val="0"/>
    <w:rPr>
      <w:rFonts w:ascii="Times New Roman" w:hAnsi="Times New Roman" w:eastAsia="Times New Roman" w:cs="Times New Roman"/>
      <w:spacing w:val="70"/>
      <w:sz w:val="26"/>
      <w:szCs w:val="26"/>
      <w:shd w:val="clear" w:color="auto" w:fill="FFFFFF"/>
    </w:rPr>
  </w:style>
  <w:style w:type="paragraph" w:customStyle="1" w:styleId="22">
    <w:name w:val="页眉或页脚"/>
    <w:basedOn w:val="1"/>
    <w:link w:val="21"/>
    <w:qFormat/>
    <w:uiPriority w:val="0"/>
    <w:pPr>
      <w:shd w:val="clear" w:color="auto" w:fill="FFFFFF"/>
      <w:spacing w:line="0" w:lineRule="atLeast"/>
      <w:jc w:val="left"/>
    </w:pPr>
    <w:rPr>
      <w:rFonts w:ascii="Times New Roman" w:hAnsi="Times New Roman" w:eastAsia="Times New Roman" w:cs="Times New Roman"/>
      <w:spacing w:val="70"/>
      <w:sz w:val="26"/>
      <w:szCs w:val="26"/>
    </w:rPr>
  </w:style>
  <w:style w:type="character" w:customStyle="1" w:styleId="23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24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25">
    <w:name w:val="表格标题_"/>
    <w:basedOn w:val="5"/>
    <w:link w:val="26"/>
    <w:qFormat/>
    <w:uiPriority w:val="0"/>
    <w:rPr>
      <w:rFonts w:ascii="宋体" w:hAnsi="宋体" w:eastAsia="宋体" w:cs="宋体"/>
      <w:spacing w:val="10"/>
      <w:sz w:val="20"/>
      <w:szCs w:val="20"/>
      <w:shd w:val="clear" w:color="auto" w:fill="FFFFFF"/>
    </w:rPr>
  </w:style>
  <w:style w:type="paragraph" w:customStyle="1" w:styleId="26">
    <w:name w:val="表格标题"/>
    <w:basedOn w:val="1"/>
    <w:link w:val="25"/>
    <w:qFormat/>
    <w:uiPriority w:val="0"/>
    <w:pPr>
      <w:shd w:val="clear" w:color="auto" w:fill="FFFFFF"/>
      <w:spacing w:line="267" w:lineRule="exact"/>
      <w:jc w:val="left"/>
    </w:pPr>
    <w:rPr>
      <w:rFonts w:ascii="宋体" w:hAnsi="宋体" w:eastAsia="宋体" w:cs="宋体"/>
      <w:spacing w:val="10"/>
      <w:sz w:val="20"/>
      <w:szCs w:val="20"/>
    </w:rPr>
  </w:style>
  <w:style w:type="character" w:customStyle="1" w:styleId="27">
    <w:name w:val="正文文本 (2) + Times New Roman"/>
    <w:basedOn w:val="1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">
    <w:name w:val="正文文本 (2) + 11.5 pt"/>
    <w:basedOn w:val="16"/>
    <w:qFormat/>
    <w:uiPriority w:val="0"/>
    <w:rPr>
      <w:rFonts w:ascii="宋体" w:hAnsi="宋体" w:eastAsia="宋体" w:cs="宋体"/>
      <w:color w:val="000000"/>
      <w:spacing w:val="220"/>
      <w:w w:val="100"/>
      <w:position w:val="0"/>
      <w:sz w:val="23"/>
      <w:szCs w:val="23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D55EB0-22C1-4B95-893A-E5F335046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2663</Words>
  <Characters>15182</Characters>
  <Lines>126</Lines>
  <Paragraphs>35</Paragraphs>
  <TotalTime>52</TotalTime>
  <ScaleCrop>false</ScaleCrop>
  <LinksUpToDate>false</LinksUpToDate>
  <CharactersWithSpaces>17810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2018-11-28T02:27:00Z</dcterms:created>
  <dc:creator>li yifan</dc:creator>
  <cp:lastModifiedBy>向阳花开</cp:lastModifiedBy>
  <dcterms:modified xsi:type="dcterms:W3CDTF">2018-11-28T08:27:15Z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